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D3BF0" w14:textId="77777777" w:rsidR="00FF74A9" w:rsidRPr="00FF74A9" w:rsidRDefault="00FF74A9" w:rsidP="00FF74A9"/>
    <w:p w14:paraId="6652BC6B" w14:textId="77777777" w:rsidR="006818C4" w:rsidRDefault="006818C4" w:rsidP="004E1AE7">
      <w:pPr>
        <w:ind w:left="-720" w:right="-720"/>
      </w:pPr>
    </w:p>
    <w:p w14:paraId="0C6CF83A" w14:textId="6798A730" w:rsidR="008622D6" w:rsidRPr="006A7A3C" w:rsidRDefault="00FF74A9" w:rsidP="004E1AE7">
      <w:pPr>
        <w:ind w:left="-720" w:right="-720"/>
      </w:pPr>
      <w:r w:rsidRPr="006A7A3C">
        <w:t xml:space="preserve">KSU faculty should include all the elements on the checklist below in addition to any other components typically included. </w:t>
      </w:r>
      <w:r w:rsidR="009716E7">
        <w:t>CSO provides</w:t>
      </w:r>
      <w:r w:rsidRPr="006A7A3C">
        <w:t xml:space="preserve"> a </w:t>
      </w:r>
      <w:hyperlink r:id="rId10" w:history="1">
        <w:r w:rsidRPr="006A7A3C">
          <w:rPr>
            <w:rStyle w:val="Hyperlink"/>
          </w:rPr>
          <w:t>Syllabus Template</w:t>
        </w:r>
      </w:hyperlink>
      <w:r w:rsidRPr="006A7A3C">
        <w:t xml:space="preserve"> that has th</w:t>
      </w:r>
      <w:r w:rsidR="009716E7">
        <w:t>is</w:t>
      </w:r>
      <w:r w:rsidRPr="006A7A3C">
        <w:t xml:space="preserve"> information already formatted and can assist in building syllab</w:t>
      </w:r>
      <w:r w:rsidR="009716E7">
        <w:t>i</w:t>
      </w:r>
      <w:r w:rsidRPr="006A7A3C">
        <w:t>.</w:t>
      </w:r>
      <w:r w:rsidR="004E1AE7" w:rsidRPr="006A7A3C">
        <w:t xml:space="preserve"> Templates designed specifically for Core IMPACTS are </w:t>
      </w:r>
      <w:r w:rsidR="006A7A3C">
        <w:t xml:space="preserve">also </w:t>
      </w:r>
      <w:r w:rsidR="004E1AE7" w:rsidRPr="006A7A3C">
        <w:t>available</w:t>
      </w:r>
      <w:r w:rsidR="00AE2954">
        <w:t>.</w:t>
      </w:r>
    </w:p>
    <w:p w14:paraId="4387C458" w14:textId="77777777" w:rsidR="00FF74A9" w:rsidRDefault="00FF74A9" w:rsidP="00FF74A9">
      <w:pPr>
        <w:rPr>
          <w:sz w:val="28"/>
          <w:szCs w:val="28"/>
        </w:rPr>
      </w:pPr>
    </w:p>
    <w:p w14:paraId="71DF00A7" w14:textId="77777777" w:rsidR="006818C4" w:rsidRPr="006A7A3C" w:rsidRDefault="006818C4" w:rsidP="00FF74A9">
      <w:pPr>
        <w:rPr>
          <w:sz w:val="28"/>
          <w:szCs w:val="28"/>
        </w:rPr>
      </w:pPr>
    </w:p>
    <w:tbl>
      <w:tblPr>
        <w:tblW w:w="10890" w:type="dxa"/>
        <w:tblInd w:w="-78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8"/>
        <w:gridCol w:w="540"/>
        <w:gridCol w:w="9882"/>
      </w:tblGrid>
      <w:tr w:rsidR="004E1AE7" w:rsidRPr="006A7A3C" w14:paraId="2E870D2E" w14:textId="77777777" w:rsidTr="004E1AE7">
        <w:trPr>
          <w:trHeight w:val="349"/>
        </w:trPr>
        <w:tc>
          <w:tcPr>
            <w:tcW w:w="468" w:type="dxa"/>
            <w:tcBorders>
              <w:top w:val="none" w:sz="6" w:space="0" w:color="auto"/>
              <w:bottom w:val="none" w:sz="6" w:space="0" w:color="auto"/>
              <w:right w:val="none" w:sz="6" w:space="0" w:color="auto"/>
            </w:tcBorders>
          </w:tcPr>
          <w:p w14:paraId="12F1C50D" w14:textId="1B3E4AE2" w:rsidR="00FF74A9" w:rsidRPr="006A7A3C" w:rsidRDefault="00FF74A9" w:rsidP="00FF74A9">
            <w:pPr>
              <w:ind w:left="-90" w:right="-568"/>
            </w:pPr>
            <w:r w:rsidRPr="006A7A3C">
              <w:t xml:space="preserve"> 1. </w:t>
            </w:r>
          </w:p>
        </w:tc>
        <w:tc>
          <w:tcPr>
            <w:tcW w:w="540" w:type="dxa"/>
            <w:tcBorders>
              <w:top w:val="none" w:sz="6" w:space="0" w:color="auto"/>
              <w:left w:val="none" w:sz="6" w:space="0" w:color="auto"/>
              <w:bottom w:val="none" w:sz="6" w:space="0" w:color="auto"/>
              <w:right w:val="none" w:sz="6" w:space="0" w:color="auto"/>
            </w:tcBorders>
          </w:tcPr>
          <w:p w14:paraId="60214B94" w14:textId="2FC4F34A"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785D4E05" w14:textId="77777777" w:rsidR="00FF74A9" w:rsidRPr="006A7A3C" w:rsidRDefault="00FF74A9" w:rsidP="00FF74A9">
            <w:r w:rsidRPr="006A7A3C">
              <w:t xml:space="preserve">At the top of the syllabus create a heading that includes “Kennesaw State University,” the college, school and/or department. </w:t>
            </w:r>
          </w:p>
        </w:tc>
      </w:tr>
      <w:tr w:rsidR="004E1AE7" w:rsidRPr="006A7A3C" w14:paraId="7256EF69" w14:textId="77777777" w:rsidTr="004E1AE7">
        <w:trPr>
          <w:trHeight w:val="274"/>
        </w:trPr>
        <w:tc>
          <w:tcPr>
            <w:tcW w:w="468" w:type="dxa"/>
            <w:tcBorders>
              <w:top w:val="none" w:sz="6" w:space="0" w:color="auto"/>
              <w:bottom w:val="none" w:sz="6" w:space="0" w:color="auto"/>
              <w:right w:val="none" w:sz="6" w:space="0" w:color="auto"/>
            </w:tcBorders>
          </w:tcPr>
          <w:p w14:paraId="133D03AA" w14:textId="19978651" w:rsidR="00FF74A9" w:rsidRPr="006A7A3C" w:rsidRDefault="00FF74A9" w:rsidP="00FF74A9">
            <w:pPr>
              <w:ind w:left="-90" w:right="-568"/>
            </w:pPr>
            <w:r w:rsidRPr="006A7A3C">
              <w:t xml:space="preserve">2. </w:t>
            </w:r>
          </w:p>
        </w:tc>
        <w:tc>
          <w:tcPr>
            <w:tcW w:w="540" w:type="dxa"/>
            <w:tcBorders>
              <w:top w:val="none" w:sz="6" w:space="0" w:color="auto"/>
              <w:left w:val="none" w:sz="6" w:space="0" w:color="auto"/>
              <w:bottom w:val="none" w:sz="6" w:space="0" w:color="auto"/>
              <w:right w:val="none" w:sz="6" w:space="0" w:color="auto"/>
            </w:tcBorders>
          </w:tcPr>
          <w:p w14:paraId="26C25671" w14:textId="31B622D1"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087B040C" w14:textId="77777777" w:rsidR="00FF74A9" w:rsidRPr="006A7A3C" w:rsidRDefault="00FF74A9" w:rsidP="00FF74A9">
            <w:r w:rsidRPr="006A7A3C">
              <w:t xml:space="preserve">The academic term with date the course is being offered. </w:t>
            </w:r>
          </w:p>
        </w:tc>
      </w:tr>
      <w:tr w:rsidR="004E1AE7" w:rsidRPr="006A7A3C" w14:paraId="5B754666" w14:textId="77777777" w:rsidTr="004E1AE7">
        <w:trPr>
          <w:trHeight w:val="274"/>
        </w:trPr>
        <w:tc>
          <w:tcPr>
            <w:tcW w:w="468" w:type="dxa"/>
            <w:tcBorders>
              <w:top w:val="none" w:sz="6" w:space="0" w:color="auto"/>
              <w:bottom w:val="none" w:sz="6" w:space="0" w:color="auto"/>
              <w:right w:val="none" w:sz="6" w:space="0" w:color="auto"/>
            </w:tcBorders>
          </w:tcPr>
          <w:p w14:paraId="3F2D92B0" w14:textId="42F2D517" w:rsidR="00FF74A9" w:rsidRPr="006A7A3C" w:rsidRDefault="00FF74A9" w:rsidP="00FF74A9">
            <w:pPr>
              <w:ind w:left="-90" w:right="-568"/>
            </w:pPr>
            <w:r w:rsidRPr="006A7A3C">
              <w:t xml:space="preserve">3. </w:t>
            </w:r>
          </w:p>
        </w:tc>
        <w:tc>
          <w:tcPr>
            <w:tcW w:w="540" w:type="dxa"/>
            <w:tcBorders>
              <w:top w:val="none" w:sz="6" w:space="0" w:color="auto"/>
              <w:left w:val="none" w:sz="6" w:space="0" w:color="auto"/>
              <w:bottom w:val="none" w:sz="6" w:space="0" w:color="auto"/>
              <w:right w:val="none" w:sz="6" w:space="0" w:color="auto"/>
            </w:tcBorders>
          </w:tcPr>
          <w:p w14:paraId="52614187" w14:textId="336289F6"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781BBED7" w14:textId="3193F60B" w:rsidR="00FF74A9" w:rsidRPr="006A7A3C" w:rsidRDefault="00FF74A9" w:rsidP="00FF74A9">
            <w:r w:rsidRPr="006A7A3C">
              <w:t xml:space="preserve">The full course prefix, number, and title as they appear in the </w:t>
            </w:r>
            <w:hyperlink r:id="rId11" w:history="1">
              <w:r w:rsidR="00AE2954" w:rsidRPr="00AE2954">
                <w:rPr>
                  <w:rStyle w:val="Hyperlink"/>
                </w:rPr>
                <w:t>Academic Catalog</w:t>
              </w:r>
            </w:hyperlink>
            <w:r w:rsidRPr="006A7A3C">
              <w:t xml:space="preserve">. </w:t>
            </w:r>
          </w:p>
        </w:tc>
      </w:tr>
      <w:tr w:rsidR="004E1AE7" w:rsidRPr="006A7A3C" w14:paraId="6518A18C" w14:textId="77777777" w:rsidTr="004E1AE7">
        <w:trPr>
          <w:trHeight w:val="374"/>
        </w:trPr>
        <w:tc>
          <w:tcPr>
            <w:tcW w:w="468" w:type="dxa"/>
            <w:tcBorders>
              <w:top w:val="none" w:sz="6" w:space="0" w:color="auto"/>
              <w:bottom w:val="none" w:sz="6" w:space="0" w:color="auto"/>
              <w:right w:val="none" w:sz="6" w:space="0" w:color="auto"/>
            </w:tcBorders>
          </w:tcPr>
          <w:p w14:paraId="19BA6AEF" w14:textId="58FD48EA" w:rsidR="00FF74A9" w:rsidRPr="006A7A3C" w:rsidRDefault="00FF74A9" w:rsidP="00FF74A9">
            <w:pPr>
              <w:ind w:left="-90" w:right="-568"/>
            </w:pPr>
            <w:r w:rsidRPr="006A7A3C">
              <w:t xml:space="preserve">4. </w:t>
            </w:r>
          </w:p>
        </w:tc>
        <w:tc>
          <w:tcPr>
            <w:tcW w:w="540" w:type="dxa"/>
            <w:tcBorders>
              <w:top w:val="none" w:sz="6" w:space="0" w:color="auto"/>
              <w:left w:val="none" w:sz="6" w:space="0" w:color="auto"/>
              <w:bottom w:val="none" w:sz="6" w:space="0" w:color="auto"/>
              <w:right w:val="none" w:sz="6" w:space="0" w:color="auto"/>
            </w:tcBorders>
          </w:tcPr>
          <w:p w14:paraId="1FA52240" w14:textId="78D883C8"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1D1FB969" w14:textId="77777777" w:rsidR="00FF74A9" w:rsidRPr="006A7A3C" w:rsidRDefault="00FF74A9" w:rsidP="00FF74A9">
            <w:r w:rsidRPr="006A7A3C">
              <w:t xml:space="preserve">The number of credit hours per the catalog. If this is a variable credit hour course, list the number of credit hours students will earn for this course. </w:t>
            </w:r>
          </w:p>
        </w:tc>
      </w:tr>
      <w:tr w:rsidR="004E1AE7" w:rsidRPr="006A7A3C" w14:paraId="15448571" w14:textId="77777777" w:rsidTr="004E1AE7">
        <w:trPr>
          <w:trHeight w:val="274"/>
        </w:trPr>
        <w:tc>
          <w:tcPr>
            <w:tcW w:w="468" w:type="dxa"/>
            <w:tcBorders>
              <w:top w:val="none" w:sz="6" w:space="0" w:color="auto"/>
              <w:bottom w:val="none" w:sz="6" w:space="0" w:color="auto"/>
              <w:right w:val="none" w:sz="6" w:space="0" w:color="auto"/>
            </w:tcBorders>
          </w:tcPr>
          <w:p w14:paraId="2C18D265" w14:textId="71AB0198" w:rsidR="00FF74A9" w:rsidRPr="006A7A3C" w:rsidRDefault="00FF74A9" w:rsidP="00FF74A9">
            <w:pPr>
              <w:ind w:left="-90" w:right="-568"/>
            </w:pPr>
            <w:r w:rsidRPr="006A7A3C">
              <w:t xml:space="preserve">5. </w:t>
            </w:r>
          </w:p>
        </w:tc>
        <w:tc>
          <w:tcPr>
            <w:tcW w:w="540" w:type="dxa"/>
            <w:tcBorders>
              <w:top w:val="none" w:sz="6" w:space="0" w:color="auto"/>
              <w:left w:val="none" w:sz="6" w:space="0" w:color="auto"/>
              <w:bottom w:val="none" w:sz="6" w:space="0" w:color="auto"/>
              <w:right w:val="none" w:sz="6" w:space="0" w:color="auto"/>
            </w:tcBorders>
          </w:tcPr>
          <w:p w14:paraId="4F4C2F61" w14:textId="25447C61"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38C2690A" w14:textId="41620F67" w:rsidR="00FF74A9" w:rsidRPr="006A7A3C" w:rsidRDefault="00FF74A9" w:rsidP="00FF74A9">
            <w:r w:rsidRPr="006A7A3C">
              <w:t>The class meeting time, location, and modality.</w:t>
            </w:r>
          </w:p>
        </w:tc>
      </w:tr>
      <w:tr w:rsidR="004E1AE7" w:rsidRPr="006A7A3C" w14:paraId="25C1C9B3" w14:textId="77777777" w:rsidTr="004E1AE7">
        <w:trPr>
          <w:trHeight w:val="374"/>
        </w:trPr>
        <w:tc>
          <w:tcPr>
            <w:tcW w:w="468" w:type="dxa"/>
            <w:tcBorders>
              <w:top w:val="none" w:sz="6" w:space="0" w:color="auto"/>
              <w:bottom w:val="none" w:sz="6" w:space="0" w:color="auto"/>
              <w:right w:val="none" w:sz="6" w:space="0" w:color="auto"/>
            </w:tcBorders>
          </w:tcPr>
          <w:p w14:paraId="5FC65ED2" w14:textId="1AD4A6B1" w:rsidR="00FF74A9" w:rsidRPr="006A7A3C" w:rsidRDefault="00FF74A9" w:rsidP="00FF74A9">
            <w:pPr>
              <w:ind w:left="-90" w:right="-568"/>
            </w:pPr>
            <w:r w:rsidRPr="006A7A3C">
              <w:t xml:space="preserve">6. </w:t>
            </w:r>
          </w:p>
        </w:tc>
        <w:tc>
          <w:tcPr>
            <w:tcW w:w="540" w:type="dxa"/>
            <w:tcBorders>
              <w:top w:val="none" w:sz="6" w:space="0" w:color="auto"/>
              <w:left w:val="none" w:sz="6" w:space="0" w:color="auto"/>
              <w:bottom w:val="none" w:sz="6" w:space="0" w:color="auto"/>
              <w:right w:val="none" w:sz="6" w:space="0" w:color="auto"/>
            </w:tcBorders>
          </w:tcPr>
          <w:p w14:paraId="58308743" w14:textId="4F645E4B"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58C20189" w14:textId="12C2A779" w:rsidR="00FF74A9" w:rsidRPr="006A7A3C" w:rsidRDefault="00FF74A9" w:rsidP="00FF74A9">
            <w:r w:rsidRPr="006A7A3C">
              <w:t>The instructor’s name, email address, office location, office phone number, and office hour schedule.</w:t>
            </w:r>
          </w:p>
        </w:tc>
      </w:tr>
      <w:tr w:rsidR="004E1AE7" w:rsidRPr="006A7A3C" w14:paraId="45A87C57" w14:textId="77777777" w:rsidTr="004E1AE7">
        <w:trPr>
          <w:trHeight w:val="349"/>
        </w:trPr>
        <w:tc>
          <w:tcPr>
            <w:tcW w:w="468" w:type="dxa"/>
            <w:tcBorders>
              <w:top w:val="none" w:sz="6" w:space="0" w:color="auto"/>
              <w:bottom w:val="none" w:sz="6" w:space="0" w:color="auto"/>
              <w:right w:val="none" w:sz="6" w:space="0" w:color="auto"/>
            </w:tcBorders>
          </w:tcPr>
          <w:p w14:paraId="429232A8" w14:textId="740941A2" w:rsidR="00FF74A9" w:rsidRPr="006A7A3C" w:rsidRDefault="00FF74A9" w:rsidP="00FF74A9">
            <w:pPr>
              <w:ind w:left="-90" w:right="-568"/>
            </w:pPr>
            <w:r w:rsidRPr="006A7A3C">
              <w:t xml:space="preserve">7. </w:t>
            </w:r>
          </w:p>
        </w:tc>
        <w:tc>
          <w:tcPr>
            <w:tcW w:w="540" w:type="dxa"/>
            <w:tcBorders>
              <w:top w:val="none" w:sz="6" w:space="0" w:color="auto"/>
              <w:left w:val="none" w:sz="6" w:space="0" w:color="auto"/>
              <w:bottom w:val="none" w:sz="6" w:space="0" w:color="auto"/>
              <w:right w:val="none" w:sz="6" w:space="0" w:color="auto"/>
            </w:tcBorders>
          </w:tcPr>
          <w:p w14:paraId="7DAE32AA" w14:textId="588240E8"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1EDAA995" w14:textId="3A17B00B" w:rsidR="00FF74A9" w:rsidRPr="006A7A3C" w:rsidRDefault="00FF74A9" w:rsidP="00FF74A9">
            <w:r w:rsidRPr="006A7A3C">
              <w:t xml:space="preserve">The course description, which must be the same as the catalog. Also include all listed prerequisites and/or course requirements as they appear in the </w:t>
            </w:r>
            <w:hyperlink r:id="rId12" w:history="1">
              <w:r w:rsidR="00AE2954" w:rsidRPr="00AE2954">
                <w:rPr>
                  <w:rStyle w:val="Hyperlink"/>
                </w:rPr>
                <w:t>Academic Catalog</w:t>
              </w:r>
            </w:hyperlink>
            <w:r w:rsidR="00AE2954" w:rsidRPr="006A7A3C">
              <w:t>.</w:t>
            </w:r>
          </w:p>
        </w:tc>
      </w:tr>
      <w:tr w:rsidR="004E1AE7" w:rsidRPr="006A7A3C" w14:paraId="3C5C8406" w14:textId="77777777" w:rsidTr="004E1AE7">
        <w:trPr>
          <w:trHeight w:val="374"/>
        </w:trPr>
        <w:tc>
          <w:tcPr>
            <w:tcW w:w="468" w:type="dxa"/>
            <w:tcBorders>
              <w:top w:val="none" w:sz="6" w:space="0" w:color="auto"/>
              <w:bottom w:val="none" w:sz="6" w:space="0" w:color="auto"/>
              <w:right w:val="none" w:sz="6" w:space="0" w:color="auto"/>
            </w:tcBorders>
          </w:tcPr>
          <w:p w14:paraId="43AB3D49" w14:textId="18B912AF" w:rsidR="00FF74A9" w:rsidRPr="006A7A3C" w:rsidRDefault="00FF74A9" w:rsidP="00FF74A9">
            <w:pPr>
              <w:ind w:left="-90" w:right="-568"/>
            </w:pPr>
            <w:r w:rsidRPr="006A7A3C">
              <w:t xml:space="preserve">8. </w:t>
            </w:r>
          </w:p>
        </w:tc>
        <w:tc>
          <w:tcPr>
            <w:tcW w:w="540" w:type="dxa"/>
            <w:tcBorders>
              <w:top w:val="none" w:sz="6" w:space="0" w:color="auto"/>
              <w:left w:val="none" w:sz="6" w:space="0" w:color="auto"/>
              <w:bottom w:val="none" w:sz="6" w:space="0" w:color="auto"/>
              <w:right w:val="none" w:sz="6" w:space="0" w:color="auto"/>
            </w:tcBorders>
          </w:tcPr>
          <w:p w14:paraId="1B5AE19A" w14:textId="1800E012"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088DA0BF" w14:textId="77777777" w:rsidR="00FF74A9" w:rsidRPr="006A7A3C" w:rsidRDefault="00FF74A9" w:rsidP="00FF74A9">
            <w:r w:rsidRPr="006A7A3C">
              <w:t xml:space="preserve">The list of required texts and readings, and/or recommended texts and readings, and/or technology requirements for this course. </w:t>
            </w:r>
          </w:p>
        </w:tc>
      </w:tr>
      <w:tr w:rsidR="004E1AE7" w:rsidRPr="006A7A3C" w14:paraId="108EB334" w14:textId="77777777" w:rsidTr="004E1AE7">
        <w:trPr>
          <w:trHeight w:val="493"/>
        </w:trPr>
        <w:tc>
          <w:tcPr>
            <w:tcW w:w="468" w:type="dxa"/>
            <w:tcBorders>
              <w:top w:val="none" w:sz="6" w:space="0" w:color="auto"/>
              <w:bottom w:val="none" w:sz="6" w:space="0" w:color="auto"/>
              <w:right w:val="none" w:sz="6" w:space="0" w:color="auto"/>
            </w:tcBorders>
          </w:tcPr>
          <w:p w14:paraId="3922E05A" w14:textId="097F9AE9" w:rsidR="00FF74A9" w:rsidRPr="006A7A3C" w:rsidRDefault="00FF74A9" w:rsidP="00FF74A9">
            <w:pPr>
              <w:ind w:left="-90" w:right="-568"/>
            </w:pPr>
            <w:r w:rsidRPr="006A7A3C">
              <w:t xml:space="preserve">9. </w:t>
            </w:r>
          </w:p>
        </w:tc>
        <w:tc>
          <w:tcPr>
            <w:tcW w:w="540" w:type="dxa"/>
            <w:tcBorders>
              <w:top w:val="none" w:sz="6" w:space="0" w:color="auto"/>
              <w:left w:val="none" w:sz="6" w:space="0" w:color="auto"/>
              <w:bottom w:val="none" w:sz="6" w:space="0" w:color="auto"/>
              <w:right w:val="none" w:sz="6" w:space="0" w:color="auto"/>
            </w:tcBorders>
          </w:tcPr>
          <w:p w14:paraId="0A05A7A1" w14:textId="74A0D991"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15FC712E" w14:textId="77777777" w:rsidR="00FF74A9" w:rsidRPr="006A7A3C" w:rsidRDefault="00FF74A9" w:rsidP="00FF74A9">
            <w:r w:rsidRPr="006A7A3C">
              <w:t xml:space="preserve">The student learning outcomes for this course. All outcomes need to be measurable and appropriate to the course level. Outcomes on the syllabus should be the same as when the course was approved. </w:t>
            </w:r>
          </w:p>
        </w:tc>
      </w:tr>
      <w:tr w:rsidR="004E1AE7" w:rsidRPr="006A7A3C" w14:paraId="2A1086D1" w14:textId="77777777" w:rsidTr="004E1AE7">
        <w:trPr>
          <w:trHeight w:val="374"/>
        </w:trPr>
        <w:tc>
          <w:tcPr>
            <w:tcW w:w="468" w:type="dxa"/>
            <w:tcBorders>
              <w:top w:val="none" w:sz="6" w:space="0" w:color="auto"/>
              <w:bottom w:val="none" w:sz="6" w:space="0" w:color="auto"/>
              <w:right w:val="none" w:sz="6" w:space="0" w:color="auto"/>
            </w:tcBorders>
          </w:tcPr>
          <w:p w14:paraId="69528B74" w14:textId="363AEE5D" w:rsidR="00FF74A9" w:rsidRPr="006A7A3C" w:rsidRDefault="00FF74A9" w:rsidP="00FF74A9">
            <w:pPr>
              <w:ind w:left="-90" w:right="-568"/>
            </w:pPr>
            <w:r w:rsidRPr="006A7A3C">
              <w:t xml:space="preserve">10. </w:t>
            </w:r>
          </w:p>
        </w:tc>
        <w:tc>
          <w:tcPr>
            <w:tcW w:w="540" w:type="dxa"/>
            <w:tcBorders>
              <w:top w:val="none" w:sz="6" w:space="0" w:color="auto"/>
              <w:left w:val="none" w:sz="6" w:space="0" w:color="auto"/>
              <w:bottom w:val="none" w:sz="6" w:space="0" w:color="auto"/>
              <w:right w:val="none" w:sz="6" w:space="0" w:color="auto"/>
            </w:tcBorders>
          </w:tcPr>
          <w:p w14:paraId="1EBCCCE4" w14:textId="59C7975F"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4C0D01F2" w14:textId="77777777" w:rsidR="00FF74A9" w:rsidRPr="006A7A3C" w:rsidRDefault="00FF74A9" w:rsidP="00FF74A9">
            <w:r w:rsidRPr="006A7A3C">
              <w:t xml:space="preserve">The requirements and assignments of this course. If you require participation and/or attendance as part of a grade, those requirements should be listed here. </w:t>
            </w:r>
          </w:p>
        </w:tc>
      </w:tr>
      <w:tr w:rsidR="004E1AE7" w:rsidRPr="006A7A3C" w14:paraId="257DADF6" w14:textId="77777777" w:rsidTr="004E1AE7">
        <w:trPr>
          <w:trHeight w:val="493"/>
        </w:trPr>
        <w:tc>
          <w:tcPr>
            <w:tcW w:w="468" w:type="dxa"/>
            <w:tcBorders>
              <w:top w:val="none" w:sz="6" w:space="0" w:color="auto"/>
              <w:bottom w:val="none" w:sz="6" w:space="0" w:color="auto"/>
              <w:right w:val="none" w:sz="6" w:space="0" w:color="auto"/>
            </w:tcBorders>
          </w:tcPr>
          <w:p w14:paraId="5477DA04" w14:textId="26AFA47C" w:rsidR="00FF74A9" w:rsidRPr="006A7A3C" w:rsidRDefault="00FF74A9" w:rsidP="00FF74A9">
            <w:pPr>
              <w:ind w:left="-90" w:right="-568"/>
            </w:pPr>
            <w:r w:rsidRPr="006A7A3C">
              <w:t>11.</w:t>
            </w:r>
          </w:p>
        </w:tc>
        <w:tc>
          <w:tcPr>
            <w:tcW w:w="540" w:type="dxa"/>
            <w:tcBorders>
              <w:top w:val="none" w:sz="6" w:space="0" w:color="auto"/>
              <w:left w:val="none" w:sz="6" w:space="0" w:color="auto"/>
              <w:bottom w:val="none" w:sz="6" w:space="0" w:color="auto"/>
              <w:right w:val="none" w:sz="6" w:space="0" w:color="auto"/>
            </w:tcBorders>
          </w:tcPr>
          <w:p w14:paraId="14F39FAD" w14:textId="5906EF8D"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6141699E" w14:textId="08E4368B" w:rsidR="00FF74A9" w:rsidRPr="006A7A3C" w:rsidRDefault="00FF74A9" w:rsidP="00FF74A9">
            <w:r w:rsidRPr="006A7A3C">
              <w:t xml:space="preserve">The course grading description and distribution. If offered, extra credit should be included in this description (and available to all students). You must include the methods of evaluation, your grading scale, and a statement on feedback expectations and feedback turnaround time. </w:t>
            </w:r>
          </w:p>
        </w:tc>
      </w:tr>
      <w:tr w:rsidR="004E1AE7" w:rsidRPr="006A7A3C" w14:paraId="1798ADC2" w14:textId="77777777" w:rsidTr="004E1AE7">
        <w:trPr>
          <w:trHeight w:val="374"/>
        </w:trPr>
        <w:tc>
          <w:tcPr>
            <w:tcW w:w="468" w:type="dxa"/>
            <w:tcBorders>
              <w:top w:val="none" w:sz="6" w:space="0" w:color="auto"/>
              <w:bottom w:val="none" w:sz="6" w:space="0" w:color="auto"/>
              <w:right w:val="none" w:sz="6" w:space="0" w:color="auto"/>
            </w:tcBorders>
          </w:tcPr>
          <w:p w14:paraId="5E537574" w14:textId="6963F869" w:rsidR="00FF74A9" w:rsidRPr="006A7A3C" w:rsidRDefault="00FF74A9" w:rsidP="00FF74A9">
            <w:pPr>
              <w:ind w:left="-90" w:right="-568"/>
            </w:pPr>
            <w:r w:rsidRPr="006A7A3C">
              <w:t xml:space="preserve">12. </w:t>
            </w:r>
          </w:p>
        </w:tc>
        <w:tc>
          <w:tcPr>
            <w:tcW w:w="540" w:type="dxa"/>
            <w:tcBorders>
              <w:top w:val="none" w:sz="6" w:space="0" w:color="auto"/>
              <w:left w:val="none" w:sz="6" w:space="0" w:color="auto"/>
              <w:bottom w:val="none" w:sz="6" w:space="0" w:color="auto"/>
              <w:right w:val="none" w:sz="6" w:space="0" w:color="auto"/>
            </w:tcBorders>
          </w:tcPr>
          <w:p w14:paraId="42CDD0FC" w14:textId="7A20DE78"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6CD73853" w14:textId="0789AEE1" w:rsidR="00FF74A9" w:rsidRPr="006A7A3C" w:rsidRDefault="00FF74A9" w:rsidP="00FF74A9">
            <w:r w:rsidRPr="006A7A3C">
              <w:rPr>
                <w:i/>
                <w:iCs/>
              </w:rPr>
              <w:t xml:space="preserve">[Graduate Syllabi Only] </w:t>
            </w:r>
            <w:r w:rsidRPr="006A7A3C">
              <w:t xml:space="preserve">Clear evidence that students will engage in research and/or appropriate professional practice and training. </w:t>
            </w:r>
          </w:p>
        </w:tc>
      </w:tr>
      <w:tr w:rsidR="004E1AE7" w:rsidRPr="006A7A3C" w14:paraId="78525C22" w14:textId="77777777" w:rsidTr="004E1AE7">
        <w:trPr>
          <w:trHeight w:val="349"/>
        </w:trPr>
        <w:tc>
          <w:tcPr>
            <w:tcW w:w="468" w:type="dxa"/>
            <w:tcBorders>
              <w:top w:val="none" w:sz="6" w:space="0" w:color="auto"/>
              <w:bottom w:val="none" w:sz="6" w:space="0" w:color="auto"/>
              <w:right w:val="none" w:sz="6" w:space="0" w:color="auto"/>
            </w:tcBorders>
          </w:tcPr>
          <w:p w14:paraId="7CDE0564" w14:textId="556B20DF" w:rsidR="00FF74A9" w:rsidRPr="006A7A3C" w:rsidRDefault="00FF74A9" w:rsidP="00FF74A9">
            <w:pPr>
              <w:ind w:left="-90" w:right="-568"/>
            </w:pPr>
            <w:r w:rsidRPr="006A7A3C">
              <w:t xml:space="preserve">13. </w:t>
            </w:r>
          </w:p>
        </w:tc>
        <w:tc>
          <w:tcPr>
            <w:tcW w:w="540" w:type="dxa"/>
            <w:tcBorders>
              <w:top w:val="none" w:sz="6" w:space="0" w:color="auto"/>
              <w:left w:val="none" w:sz="6" w:space="0" w:color="auto"/>
              <w:bottom w:val="none" w:sz="6" w:space="0" w:color="auto"/>
              <w:right w:val="none" w:sz="6" w:space="0" w:color="auto"/>
            </w:tcBorders>
          </w:tcPr>
          <w:p w14:paraId="6C81D612" w14:textId="5A039129"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4BFE5D69" w14:textId="77777777" w:rsidR="00FF74A9" w:rsidRPr="006A7A3C" w:rsidRDefault="00FF74A9" w:rsidP="00FF74A9">
            <w:r w:rsidRPr="006A7A3C">
              <w:rPr>
                <w:i/>
                <w:iCs/>
              </w:rPr>
              <w:t xml:space="preserve">[Graduate Syllabi Only] </w:t>
            </w:r>
            <w:r w:rsidRPr="006A7A3C">
              <w:t xml:space="preserve">Clear evidence that students will engage with knowledge of the literature of the discipline. </w:t>
            </w:r>
          </w:p>
        </w:tc>
      </w:tr>
      <w:tr w:rsidR="004E1AE7" w:rsidRPr="006A7A3C" w14:paraId="3CE288FD" w14:textId="77777777" w:rsidTr="004E1AE7">
        <w:trPr>
          <w:trHeight w:val="815"/>
        </w:trPr>
        <w:tc>
          <w:tcPr>
            <w:tcW w:w="468" w:type="dxa"/>
            <w:tcBorders>
              <w:top w:val="none" w:sz="6" w:space="0" w:color="auto"/>
              <w:bottom w:val="none" w:sz="6" w:space="0" w:color="auto"/>
              <w:right w:val="none" w:sz="6" w:space="0" w:color="auto"/>
            </w:tcBorders>
          </w:tcPr>
          <w:p w14:paraId="265E0ED2" w14:textId="4C377D33" w:rsidR="00FF74A9" w:rsidRPr="006A7A3C" w:rsidRDefault="00FF74A9" w:rsidP="00FF74A9">
            <w:pPr>
              <w:ind w:left="-90" w:right="-568"/>
            </w:pPr>
            <w:r w:rsidRPr="006A7A3C">
              <w:t xml:space="preserve">14. </w:t>
            </w:r>
          </w:p>
        </w:tc>
        <w:tc>
          <w:tcPr>
            <w:tcW w:w="540" w:type="dxa"/>
            <w:tcBorders>
              <w:top w:val="none" w:sz="6" w:space="0" w:color="auto"/>
              <w:left w:val="none" w:sz="6" w:space="0" w:color="auto"/>
              <w:bottom w:val="none" w:sz="6" w:space="0" w:color="auto"/>
              <w:right w:val="none" w:sz="6" w:space="0" w:color="auto"/>
            </w:tcBorders>
          </w:tcPr>
          <w:p w14:paraId="016B466A" w14:textId="55E4BD91"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0B7905DC" w14:textId="77777777" w:rsidR="00FF74A9" w:rsidRPr="006A7A3C" w:rsidRDefault="00FF74A9" w:rsidP="00FF74A9">
            <w:r w:rsidRPr="006A7A3C">
              <w:t xml:space="preserve">The policies for this course. The syllabus must include the course attendance policy. The syllabus may include policies for late work, missed exams, extensions, excused absences, accommodation of students participating in official University functions, instructor expectations, etc. Policies, including the attendance policy, should reflect the modality of the course. </w:t>
            </w:r>
          </w:p>
        </w:tc>
      </w:tr>
      <w:tr w:rsidR="004E1AE7" w:rsidRPr="006A7A3C" w14:paraId="3E41B1FB" w14:textId="77777777" w:rsidTr="004E1AE7">
        <w:trPr>
          <w:trHeight w:val="274"/>
        </w:trPr>
        <w:tc>
          <w:tcPr>
            <w:tcW w:w="468" w:type="dxa"/>
            <w:tcBorders>
              <w:top w:val="none" w:sz="6" w:space="0" w:color="auto"/>
              <w:bottom w:val="none" w:sz="6" w:space="0" w:color="auto"/>
              <w:right w:val="none" w:sz="6" w:space="0" w:color="auto"/>
            </w:tcBorders>
          </w:tcPr>
          <w:p w14:paraId="1129E9D0" w14:textId="79FDBEA6" w:rsidR="00FF74A9" w:rsidRPr="006A7A3C" w:rsidRDefault="00FF74A9" w:rsidP="00FF74A9">
            <w:pPr>
              <w:ind w:left="-90" w:right="-568"/>
            </w:pPr>
            <w:r w:rsidRPr="006A7A3C">
              <w:t xml:space="preserve">15. </w:t>
            </w:r>
          </w:p>
        </w:tc>
        <w:tc>
          <w:tcPr>
            <w:tcW w:w="540" w:type="dxa"/>
            <w:tcBorders>
              <w:top w:val="none" w:sz="6" w:space="0" w:color="auto"/>
              <w:left w:val="none" w:sz="6" w:space="0" w:color="auto"/>
              <w:bottom w:val="none" w:sz="6" w:space="0" w:color="auto"/>
              <w:right w:val="none" w:sz="6" w:space="0" w:color="auto"/>
            </w:tcBorders>
          </w:tcPr>
          <w:p w14:paraId="0FFB8A09" w14:textId="43493E30" w:rsidR="00FF74A9" w:rsidRPr="006A7A3C" w:rsidRDefault="00FF74A9" w:rsidP="00FF74A9">
            <w:r w:rsidRPr="006A7A3C">
              <w:t xml:space="preserve">☐ </w:t>
            </w:r>
          </w:p>
        </w:tc>
        <w:tc>
          <w:tcPr>
            <w:tcW w:w="9882" w:type="dxa"/>
            <w:tcBorders>
              <w:top w:val="none" w:sz="6" w:space="0" w:color="auto"/>
              <w:left w:val="none" w:sz="6" w:space="0" w:color="auto"/>
              <w:bottom w:val="none" w:sz="6" w:space="0" w:color="auto"/>
            </w:tcBorders>
          </w:tcPr>
          <w:p w14:paraId="3FEB3AF5" w14:textId="77777777" w:rsidR="00FF74A9" w:rsidRPr="006A7A3C" w:rsidRDefault="00FF74A9" w:rsidP="00FF74A9">
            <w:r w:rsidRPr="006A7A3C">
              <w:rPr>
                <w:i/>
                <w:iCs/>
              </w:rPr>
              <w:t xml:space="preserve">[Optional] </w:t>
            </w:r>
            <w:r w:rsidRPr="006A7A3C">
              <w:t xml:space="preserve">Any department or College specific policies </w:t>
            </w:r>
          </w:p>
        </w:tc>
      </w:tr>
      <w:tr w:rsidR="004E1AE7" w:rsidRPr="006A7A3C" w14:paraId="13DB4CF2" w14:textId="77777777" w:rsidTr="004E1AE7">
        <w:trPr>
          <w:trHeight w:val="274"/>
        </w:trPr>
        <w:tc>
          <w:tcPr>
            <w:tcW w:w="468" w:type="dxa"/>
            <w:tcBorders>
              <w:top w:val="none" w:sz="6" w:space="0" w:color="auto"/>
              <w:bottom w:val="none" w:sz="6" w:space="0" w:color="auto"/>
              <w:right w:val="none" w:sz="6" w:space="0" w:color="auto"/>
            </w:tcBorders>
          </w:tcPr>
          <w:p w14:paraId="7D7EDAA4" w14:textId="79EDA2FB" w:rsidR="004E1AE7" w:rsidRPr="006A7A3C" w:rsidRDefault="004E1AE7" w:rsidP="00FF74A9">
            <w:pPr>
              <w:ind w:left="-90" w:right="-568"/>
            </w:pPr>
            <w:r w:rsidRPr="006A7A3C">
              <w:t>16.</w:t>
            </w:r>
          </w:p>
        </w:tc>
        <w:tc>
          <w:tcPr>
            <w:tcW w:w="540" w:type="dxa"/>
            <w:tcBorders>
              <w:top w:val="none" w:sz="6" w:space="0" w:color="auto"/>
              <w:left w:val="none" w:sz="6" w:space="0" w:color="auto"/>
              <w:bottom w:val="none" w:sz="6" w:space="0" w:color="auto"/>
              <w:right w:val="none" w:sz="6" w:space="0" w:color="auto"/>
            </w:tcBorders>
          </w:tcPr>
          <w:p w14:paraId="0696AFD5" w14:textId="0596EBB0" w:rsidR="004E1AE7" w:rsidRPr="006A7A3C" w:rsidRDefault="004E1AE7" w:rsidP="00FF74A9">
            <w:r w:rsidRPr="006A7A3C">
              <w:t>☐</w:t>
            </w:r>
          </w:p>
        </w:tc>
        <w:tc>
          <w:tcPr>
            <w:tcW w:w="9882" w:type="dxa"/>
            <w:tcBorders>
              <w:top w:val="none" w:sz="6" w:space="0" w:color="auto"/>
              <w:left w:val="none" w:sz="6" w:space="0" w:color="auto"/>
              <w:bottom w:val="none" w:sz="6" w:space="0" w:color="auto"/>
            </w:tcBorders>
          </w:tcPr>
          <w:p w14:paraId="5DE42138" w14:textId="39AAA8C2" w:rsidR="004E1AE7" w:rsidRPr="006A7A3C" w:rsidRDefault="004E1AE7" w:rsidP="004E1AE7">
            <w:pPr>
              <w:pStyle w:val="Default"/>
            </w:pPr>
            <w:r w:rsidRPr="006A7A3C">
              <w:t xml:space="preserve">Institutional Syllabus Policies, Procedures, and Resource Link: </w:t>
            </w:r>
            <w:hyperlink r:id="rId13" w:history="1">
              <w:r w:rsidRPr="006A7A3C">
                <w:rPr>
                  <w:rStyle w:val="Hyperlink"/>
                </w:rPr>
                <w:t>https://www.kennesaw.edu/curriculum-instruction-assessment/academic-program-planning-development/resources/student-syllabus-resources.php</w:t>
              </w:r>
            </w:hyperlink>
            <w:r w:rsidRPr="006A7A3C">
              <w:rPr>
                <w:color w:val="0000FF"/>
              </w:rPr>
              <w:t xml:space="preserve">  </w:t>
            </w:r>
            <w:r w:rsidRPr="006A7A3C">
              <w:t xml:space="preserve">The Academic Integrity Statement is required to be on your syllabus and is included at this link. It is preferable to include the link rather than copy from the page, as the linked webpage is regularly updated. </w:t>
            </w:r>
          </w:p>
        </w:tc>
      </w:tr>
      <w:tr w:rsidR="004E1AE7" w:rsidRPr="006A7A3C" w14:paraId="417EF051" w14:textId="77777777" w:rsidTr="004E1AE7">
        <w:trPr>
          <w:trHeight w:val="274"/>
        </w:trPr>
        <w:tc>
          <w:tcPr>
            <w:tcW w:w="468" w:type="dxa"/>
            <w:tcBorders>
              <w:top w:val="none" w:sz="6" w:space="0" w:color="auto"/>
              <w:bottom w:val="none" w:sz="6" w:space="0" w:color="auto"/>
              <w:right w:val="none" w:sz="6" w:space="0" w:color="auto"/>
            </w:tcBorders>
          </w:tcPr>
          <w:p w14:paraId="1366EB99" w14:textId="4221F167" w:rsidR="004E1AE7" w:rsidRPr="006A7A3C" w:rsidRDefault="004E1AE7" w:rsidP="00FF74A9">
            <w:pPr>
              <w:ind w:left="-90" w:right="-568"/>
            </w:pPr>
            <w:r w:rsidRPr="006A7A3C">
              <w:t>17.</w:t>
            </w:r>
          </w:p>
        </w:tc>
        <w:tc>
          <w:tcPr>
            <w:tcW w:w="540" w:type="dxa"/>
            <w:tcBorders>
              <w:top w:val="none" w:sz="6" w:space="0" w:color="auto"/>
              <w:left w:val="none" w:sz="6" w:space="0" w:color="auto"/>
              <w:bottom w:val="none" w:sz="6" w:space="0" w:color="auto"/>
              <w:right w:val="none" w:sz="6" w:space="0" w:color="auto"/>
            </w:tcBorders>
          </w:tcPr>
          <w:p w14:paraId="6E691436" w14:textId="09DC6947" w:rsidR="004E1AE7" w:rsidRPr="006A7A3C" w:rsidRDefault="004E1AE7" w:rsidP="00FF74A9">
            <w:r w:rsidRPr="006A7A3C">
              <w:t>☐</w:t>
            </w:r>
          </w:p>
        </w:tc>
        <w:tc>
          <w:tcPr>
            <w:tcW w:w="9882" w:type="dxa"/>
            <w:tcBorders>
              <w:top w:val="none" w:sz="6" w:space="0" w:color="auto"/>
              <w:left w:val="none" w:sz="6" w:space="0" w:color="auto"/>
              <w:bottom w:val="none" w:sz="6" w:space="0" w:color="auto"/>
            </w:tcBorders>
          </w:tcPr>
          <w:p w14:paraId="50394E55" w14:textId="0F88B04E" w:rsidR="004E1AE7" w:rsidRPr="006A7A3C" w:rsidRDefault="004E1AE7" w:rsidP="004E1AE7">
            <w:pPr>
              <w:pStyle w:val="Default"/>
            </w:pPr>
            <w:r w:rsidRPr="006A7A3C">
              <w:t xml:space="preserve">The course calendars. This should reflect the meeting times of the course and highlight specific course readings, course requirements, and course assignments. </w:t>
            </w:r>
          </w:p>
        </w:tc>
      </w:tr>
    </w:tbl>
    <w:p w14:paraId="3767C9FE" w14:textId="77777777" w:rsidR="00FF74A9" w:rsidRDefault="00FF74A9" w:rsidP="00FF74A9"/>
    <w:sectPr w:rsidR="00FF74A9" w:rsidSect="004E1AE7">
      <w:head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D1337" w14:textId="77777777" w:rsidR="0016648F" w:rsidRDefault="0016648F" w:rsidP="00FF74A9">
      <w:r>
        <w:separator/>
      </w:r>
    </w:p>
  </w:endnote>
  <w:endnote w:type="continuationSeparator" w:id="0">
    <w:p w14:paraId="33946465" w14:textId="77777777" w:rsidR="0016648F" w:rsidRDefault="0016648F" w:rsidP="00FF74A9">
      <w:r>
        <w:continuationSeparator/>
      </w:r>
    </w:p>
  </w:endnote>
  <w:endnote w:type="continuationNotice" w:id="1">
    <w:p w14:paraId="44D0C5AA" w14:textId="77777777" w:rsidR="0016648F" w:rsidRDefault="0016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5CBE8" w14:textId="77777777" w:rsidR="0016648F" w:rsidRDefault="0016648F" w:rsidP="00FF74A9">
      <w:r>
        <w:separator/>
      </w:r>
    </w:p>
  </w:footnote>
  <w:footnote w:type="continuationSeparator" w:id="0">
    <w:p w14:paraId="27F50E0C" w14:textId="77777777" w:rsidR="0016648F" w:rsidRDefault="0016648F" w:rsidP="00FF74A9">
      <w:r>
        <w:continuationSeparator/>
      </w:r>
    </w:p>
  </w:footnote>
  <w:footnote w:type="continuationNotice" w:id="1">
    <w:p w14:paraId="580B0ABC" w14:textId="77777777" w:rsidR="0016648F" w:rsidRDefault="00166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B57C" w14:textId="5899A711" w:rsidR="00FF74A9" w:rsidRDefault="006A7A3C">
    <w:pPr>
      <w:pStyle w:val="Header"/>
    </w:pPr>
    <w:r>
      <w:rPr>
        <w:noProof/>
      </w:rPr>
      <mc:AlternateContent>
        <mc:Choice Requires="wps">
          <w:drawing>
            <wp:anchor distT="0" distB="0" distL="114300" distR="114300" simplePos="0" relativeHeight="251658241" behindDoc="0" locked="0" layoutInCell="1" allowOverlap="1" wp14:anchorId="08AF6019" wp14:editId="45DDDB03">
              <wp:simplePos x="0" y="0"/>
              <wp:positionH relativeFrom="column">
                <wp:posOffset>2626995</wp:posOffset>
              </wp:positionH>
              <wp:positionV relativeFrom="paragraph">
                <wp:posOffset>-64770</wp:posOffset>
              </wp:positionV>
              <wp:extent cx="3856653" cy="442685"/>
              <wp:effectExtent l="0" t="0" r="0" b="0"/>
              <wp:wrapNone/>
              <wp:docPr id="806211107" name="Text Box 3"/>
              <wp:cNvGraphicFramePr/>
              <a:graphic xmlns:a="http://schemas.openxmlformats.org/drawingml/2006/main">
                <a:graphicData uri="http://schemas.microsoft.com/office/word/2010/wordprocessingShape">
                  <wps:wsp>
                    <wps:cNvSpPr txBox="1"/>
                    <wps:spPr>
                      <a:xfrm>
                        <a:off x="0" y="0"/>
                        <a:ext cx="3856653" cy="442685"/>
                      </a:xfrm>
                      <a:prstGeom prst="rect">
                        <a:avLst/>
                      </a:prstGeom>
                      <a:noFill/>
                      <a:ln w="6350">
                        <a:noFill/>
                      </a:ln>
                    </wps:spPr>
                    <wps:txbx>
                      <w:txbxContent>
                        <w:p w14:paraId="3A973EF0" w14:textId="5B74FA51" w:rsidR="00FF74A9" w:rsidRPr="006A7A3C" w:rsidRDefault="00FF74A9">
                          <w:pPr>
                            <w:rPr>
                              <w:rFonts w:ascii="Montserrat" w:hAnsi="Montserrat"/>
                              <w:b/>
                              <w:bCs/>
                              <w:sz w:val="48"/>
                              <w:szCs w:val="48"/>
                            </w:rPr>
                          </w:pPr>
                          <w:r w:rsidRPr="006A7A3C">
                            <w:rPr>
                              <w:rFonts w:ascii="Montserrat" w:hAnsi="Montserrat"/>
                              <w:b/>
                              <w:bCs/>
                              <w:sz w:val="48"/>
                              <w:szCs w:val="48"/>
                            </w:rPr>
                            <w:t>SYLLABUS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F6019" id="_x0000_t202" coordsize="21600,21600" o:spt="202" path="m,l,21600r21600,l21600,xe">
              <v:stroke joinstyle="miter"/>
              <v:path gradientshapeok="t" o:connecttype="rect"/>
            </v:shapetype>
            <v:shape id="Text Box 3" o:spid="_x0000_s1026" type="#_x0000_t202" style="position:absolute;margin-left:206.85pt;margin-top:-5.1pt;width:303.65pt;height:34.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ZlFwIAACw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J4vZfD6bUMIxNp2O54tZLJNd/7bOh28CNIlGQR3SktBi&#10;x0cfutRzSmxmYFMrlahRhjQFnU9mw/TDJYLFlcEe11mjFdpd2y+wg/KEeznoKPeWb2ps/sh8eGEO&#10;OcZVULfhGQ+pAJtAb1FSgfv1t/uYj9BjlJIGNVNQ//PAnKBEfTdIypfRdBpFlpzp7PMYHXcb2d1G&#10;zEHfA8pyhC/E8mTG/KDOpnSg31De69gVQ8xw7F3QcDbvQ6dkfB5crNcpCWVlWXg0W8tj6QhnhPa1&#10;fWPO9vgHZO4Jzupi+TsautyOiPUhgKwTRxHgDtUed5RkYrl/PlHzt37Kuj7y1W8AAAD//wMAUEsD&#10;BBQABgAIAAAAIQAcP28B4gAAAAsBAAAPAAAAZHJzL2Rvd25yZXYueG1sTI/LTsMwEEX3SPyDNUjs&#10;WjuBQAmZVFWkCgnRRUs37Caxm0T4EWK3DXw97gqWozm699xiORnNTmr0vbMIyVwAU7Zxsrctwv59&#10;PVsA84GsJO2sQvhWHpbl9VVBuXRnu1WnXWhZDLE+J4QuhCHn3DedMuTnblA2/g5uNBTiObZcjnSO&#10;4UbzVIgHbqi3saGjQVWdaj53R4PwWq03tK1Ts/jR1cvbYTV87T8yxNubafUMLKgp/MFw0Y/qUEan&#10;2h2t9Ewj3Cd3jxFFmCUiBXYhRJrEeTVC9pQBLwv+f0P5CwAA//8DAFBLAQItABQABgAIAAAAIQC2&#10;gziS/gAAAOEBAAATAAAAAAAAAAAAAAAAAAAAAABbQ29udGVudF9UeXBlc10ueG1sUEsBAi0AFAAG&#10;AAgAAAAhADj9If/WAAAAlAEAAAsAAAAAAAAAAAAAAAAALwEAAF9yZWxzLy5yZWxzUEsBAi0AFAAG&#10;AAgAAAAhAHX11mUXAgAALAQAAA4AAAAAAAAAAAAAAAAALgIAAGRycy9lMm9Eb2MueG1sUEsBAi0A&#10;FAAGAAgAAAAhABw/bwHiAAAACwEAAA8AAAAAAAAAAAAAAAAAcQQAAGRycy9kb3ducmV2LnhtbFBL&#10;BQYAAAAABAAEAPMAAACABQAAAAA=&#10;" filled="f" stroked="f" strokeweight=".5pt">
              <v:textbox>
                <w:txbxContent>
                  <w:p w14:paraId="3A973EF0" w14:textId="5B74FA51" w:rsidR="00FF74A9" w:rsidRPr="006A7A3C" w:rsidRDefault="00FF74A9">
                    <w:pPr>
                      <w:rPr>
                        <w:rFonts w:ascii="Montserrat" w:hAnsi="Montserrat"/>
                        <w:b/>
                        <w:bCs/>
                        <w:sz w:val="48"/>
                        <w:szCs w:val="48"/>
                      </w:rPr>
                    </w:pPr>
                    <w:r w:rsidRPr="006A7A3C">
                      <w:rPr>
                        <w:rFonts w:ascii="Montserrat" w:hAnsi="Montserrat"/>
                        <w:b/>
                        <w:bCs/>
                        <w:sz w:val="48"/>
                        <w:szCs w:val="48"/>
                      </w:rPr>
                      <w:t>SYLLABUS CHECKLIST</w:t>
                    </w:r>
                  </w:p>
                </w:txbxContent>
              </v:textbox>
            </v:shape>
          </w:pict>
        </mc:Fallback>
      </mc:AlternateContent>
    </w:r>
    <w:r w:rsidR="00206DC7">
      <w:rPr>
        <w:noProof/>
      </w:rPr>
      <mc:AlternateContent>
        <mc:Choice Requires="wps">
          <w:drawing>
            <wp:anchor distT="0" distB="0" distL="114300" distR="114300" simplePos="0" relativeHeight="251658240" behindDoc="0" locked="0" layoutInCell="1" allowOverlap="1" wp14:anchorId="00863526" wp14:editId="460E6BE9">
              <wp:simplePos x="0" y="0"/>
              <wp:positionH relativeFrom="column">
                <wp:posOffset>-1007706</wp:posOffset>
              </wp:positionH>
              <wp:positionV relativeFrom="paragraph">
                <wp:posOffset>-115078</wp:posOffset>
              </wp:positionV>
              <wp:extent cx="7930981" cy="547370"/>
              <wp:effectExtent l="0" t="0" r="6985" b="11430"/>
              <wp:wrapNone/>
              <wp:docPr id="587329738" name="Rectangle 1"/>
              <wp:cNvGraphicFramePr/>
              <a:graphic xmlns:a="http://schemas.openxmlformats.org/drawingml/2006/main">
                <a:graphicData uri="http://schemas.microsoft.com/office/word/2010/wordprocessingShape">
                  <wps:wsp>
                    <wps:cNvSpPr/>
                    <wps:spPr>
                      <a:xfrm>
                        <a:off x="0" y="0"/>
                        <a:ext cx="7930981" cy="54737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ADA96E" w14:textId="33D7BF03" w:rsidR="00FF74A9" w:rsidRDefault="00FF74A9" w:rsidP="00FF74A9">
                          <w:r>
                            <w:t xml:space="preserve">                       </w:t>
                          </w:r>
                          <w:r w:rsidR="006A7A3C">
                            <w:rPr>
                              <w:noProof/>
                            </w:rPr>
                            <w:drawing>
                              <wp:inline distT="0" distB="0" distL="0" distR="0" wp14:anchorId="76C79913" wp14:editId="3CA73614">
                                <wp:extent cx="1928495" cy="443230"/>
                                <wp:effectExtent l="0" t="0" r="0" b="0"/>
                                <wp:docPr id="114916078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0785"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28495" cy="44323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863526" id="Rectangle 1" o:spid="_x0000_s1027" style="position:absolute;margin-left:-79.35pt;margin-top:-9.05pt;width:624.5pt;height:43.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owfgIAAFkFAAAOAAAAZHJzL2Uyb0RvYy54bWysVEtv2zAMvg/YfxB0X+2k6dIGdYogRYYB&#10;RVesHXpWZCkWIEsapcTOfv0o+ZGgK3YYdpFJkfz48Efd3rW1JgcBXllT0MlFTokw3JbK7Ar642Xz&#10;6ZoSH5gpmbZGFPQoPL1bfvxw27iFmNrK6lIAQRDjF40raBWCW2SZ55Womb+wThg0Sgs1C6jCLiuB&#10;NYhe62ya55+zxkLpwHLhPd7ed0a6TPhSCh6+SelFILqgWFtIJ6RzG89secsWO2CuUrwvg/1DFTVT&#10;BpOOUPcsMLIH9QdUrThYb2W44LbOrJSKi9QDdjPJ33TzXDEnUi84HO/GMfn/B8sfD8/uCXAMjfML&#10;j2LsopVQxy/WR9o0rOM4LNEGwvFyfnOZ31xPKOFou5rNL+dpmtkp2oEPX4StSRQKCvgz0ozY4cEH&#10;zIiug0tM5q1W5UZpnRTYbdcayIHhj9ts1nk+oJ+5ZaeakxSOWsRgbb4LSVSJVU5TxkQnMeIxzoUJ&#10;k85UsVJ0aSZXZ1kiAWNEKjMBRmSJ5Y3YPcDg2YEM2F1/vX8MFYmNY3D+t8K64DEiZbYmjMG1Mhbe&#10;A9DYVZ+588fyz0YTxdBuW5wNLmv0jDdbWx6fgIDttsM7vlH4xx6YD08McB1wcXDFwzc8pLZNQW0v&#10;UVJZ+PXeffRHlqKVkgbXq6D+556BoER/Ncjfm8lsFvcxKbOr+RQVOLdszy1mX68tEgHZhtUlMfoH&#10;PYgSbP2KL8EqZkUTMxxzF5QHGJR16NYe3xIuVqvkhjvoWHgwz45H8DjnyMiX9pWB62kbkPCPdlhF&#10;tnjD3s43Rhq72gcrVaL2aa79H8D9TVTq35r4QJzryev0Ii5/AwAA//8DAFBLAwQUAAYACAAAACEA&#10;udy47t8AAAAMAQAADwAAAGRycy9kb3ducmV2LnhtbEyPQU/DMAyF70j8h8hI3LakIEYpTacJsRtC&#10;onCAW9aYtqJxqiZb2/163BPcbL+n9z7n28l14oRDaD1pSNYKBFLlbUu1ho/3/SoFEaIhazpPqGHG&#10;ANvi8iI3mfUjveGpjLXgEAqZ0dDE2GdShqpBZ8La90isffvBmcjrUEs7mJHDXSdvlNpIZ1rihsb0&#10;+NRg9VMeHZe8fp5tV8YvlGW/ty/P8+48zlpfX027RxARp/hnhgWf0aFgpoM/kg2i07BK7tJ79i5T&#10;moBYLOpB3YI4aNjwRRa5/P9E8QsAAP//AwBQSwECLQAUAAYACAAAACEAtoM4kv4AAADhAQAAEwAA&#10;AAAAAAAAAAAAAAAAAAAAW0NvbnRlbnRfVHlwZXNdLnhtbFBLAQItABQABgAIAAAAIQA4/SH/1gAA&#10;AJQBAAALAAAAAAAAAAAAAAAAAC8BAABfcmVscy8ucmVsc1BLAQItABQABgAIAAAAIQDTWNowfgIA&#10;AFkFAAAOAAAAAAAAAAAAAAAAAC4CAABkcnMvZTJvRG9jLnhtbFBLAQItABQABgAIAAAAIQC53Lju&#10;3wAAAAwBAAAPAAAAAAAAAAAAAAAAANgEAABkcnMvZG93bnJldi54bWxQSwUGAAAAAAQABADzAAAA&#10;5AUAAAAA&#10;" fillcolor="#ffc000" strokecolor="#030e13 [484]" strokeweight="1pt">
              <v:textbox>
                <w:txbxContent>
                  <w:p w14:paraId="13ADA96E" w14:textId="33D7BF03" w:rsidR="00FF74A9" w:rsidRDefault="00FF74A9" w:rsidP="00FF74A9">
                    <w:r>
                      <w:t xml:space="preserve">                       </w:t>
                    </w:r>
                    <w:r w:rsidR="006A7A3C">
                      <w:rPr>
                        <w:noProof/>
                      </w:rPr>
                      <w:drawing>
                        <wp:inline distT="0" distB="0" distL="0" distR="0" wp14:anchorId="76C79913" wp14:editId="3CA73614">
                          <wp:extent cx="1928495" cy="443230"/>
                          <wp:effectExtent l="0" t="0" r="0" b="0"/>
                          <wp:docPr id="114916078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0785"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28495" cy="443230"/>
                                  </a:xfrm>
                                  <a:prstGeom prst="rect">
                                    <a:avLst/>
                                  </a:prstGeom>
                                </pic:spPr>
                              </pic:pic>
                            </a:graphicData>
                          </a:graphic>
                        </wp:inline>
                      </w:drawing>
                    </w:r>
                    <w: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A9"/>
    <w:rsid w:val="000431CC"/>
    <w:rsid w:val="00074510"/>
    <w:rsid w:val="0016648F"/>
    <w:rsid w:val="001878FC"/>
    <w:rsid w:val="001A0170"/>
    <w:rsid w:val="00206DC7"/>
    <w:rsid w:val="00221DB0"/>
    <w:rsid w:val="00292742"/>
    <w:rsid w:val="002F2FB2"/>
    <w:rsid w:val="004E1AE7"/>
    <w:rsid w:val="0050690E"/>
    <w:rsid w:val="00572140"/>
    <w:rsid w:val="006455D9"/>
    <w:rsid w:val="006818C4"/>
    <w:rsid w:val="006A7A3C"/>
    <w:rsid w:val="00825BBA"/>
    <w:rsid w:val="008622D6"/>
    <w:rsid w:val="0091332E"/>
    <w:rsid w:val="009716E7"/>
    <w:rsid w:val="00AE2954"/>
    <w:rsid w:val="00D16152"/>
    <w:rsid w:val="00DF746F"/>
    <w:rsid w:val="00FE28FF"/>
    <w:rsid w:val="00F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CD80B"/>
  <w15:chartTrackingRefBased/>
  <w15:docId w15:val="{7F28C02A-5C02-A34F-89A9-34F513FF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4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4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4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4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4A9"/>
    <w:rPr>
      <w:rFonts w:eastAsiaTheme="majorEastAsia" w:cstheme="majorBidi"/>
      <w:color w:val="272727" w:themeColor="text1" w:themeTint="D8"/>
    </w:rPr>
  </w:style>
  <w:style w:type="paragraph" w:styleId="Title">
    <w:name w:val="Title"/>
    <w:basedOn w:val="Normal"/>
    <w:next w:val="Normal"/>
    <w:link w:val="TitleChar"/>
    <w:uiPriority w:val="10"/>
    <w:qFormat/>
    <w:rsid w:val="00FF74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4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4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4A9"/>
    <w:rPr>
      <w:i/>
      <w:iCs/>
      <w:color w:val="404040" w:themeColor="text1" w:themeTint="BF"/>
    </w:rPr>
  </w:style>
  <w:style w:type="paragraph" w:styleId="ListParagraph">
    <w:name w:val="List Paragraph"/>
    <w:basedOn w:val="Normal"/>
    <w:uiPriority w:val="34"/>
    <w:qFormat/>
    <w:rsid w:val="00FF74A9"/>
    <w:pPr>
      <w:ind w:left="720"/>
      <w:contextualSpacing/>
    </w:pPr>
  </w:style>
  <w:style w:type="character" w:styleId="IntenseEmphasis">
    <w:name w:val="Intense Emphasis"/>
    <w:basedOn w:val="DefaultParagraphFont"/>
    <w:uiPriority w:val="21"/>
    <w:qFormat/>
    <w:rsid w:val="00FF74A9"/>
    <w:rPr>
      <w:i/>
      <w:iCs/>
      <w:color w:val="0F4761" w:themeColor="accent1" w:themeShade="BF"/>
    </w:rPr>
  </w:style>
  <w:style w:type="paragraph" w:styleId="IntenseQuote">
    <w:name w:val="Intense Quote"/>
    <w:basedOn w:val="Normal"/>
    <w:next w:val="Normal"/>
    <w:link w:val="IntenseQuoteChar"/>
    <w:uiPriority w:val="30"/>
    <w:qFormat/>
    <w:rsid w:val="00FF7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4A9"/>
    <w:rPr>
      <w:i/>
      <w:iCs/>
      <w:color w:val="0F4761" w:themeColor="accent1" w:themeShade="BF"/>
    </w:rPr>
  </w:style>
  <w:style w:type="character" w:styleId="IntenseReference">
    <w:name w:val="Intense Reference"/>
    <w:basedOn w:val="DefaultParagraphFont"/>
    <w:uiPriority w:val="32"/>
    <w:qFormat/>
    <w:rsid w:val="00FF74A9"/>
    <w:rPr>
      <w:b/>
      <w:bCs/>
      <w:smallCaps/>
      <w:color w:val="0F4761" w:themeColor="accent1" w:themeShade="BF"/>
      <w:spacing w:val="5"/>
    </w:rPr>
  </w:style>
  <w:style w:type="paragraph" w:styleId="Header">
    <w:name w:val="header"/>
    <w:basedOn w:val="Normal"/>
    <w:link w:val="HeaderChar"/>
    <w:uiPriority w:val="99"/>
    <w:unhideWhenUsed/>
    <w:rsid w:val="00FF74A9"/>
    <w:pPr>
      <w:tabs>
        <w:tab w:val="center" w:pos="4680"/>
        <w:tab w:val="right" w:pos="9360"/>
      </w:tabs>
    </w:pPr>
  </w:style>
  <w:style w:type="character" w:customStyle="1" w:styleId="HeaderChar">
    <w:name w:val="Header Char"/>
    <w:basedOn w:val="DefaultParagraphFont"/>
    <w:link w:val="Header"/>
    <w:uiPriority w:val="99"/>
    <w:rsid w:val="00FF74A9"/>
  </w:style>
  <w:style w:type="paragraph" w:styleId="Footer">
    <w:name w:val="footer"/>
    <w:basedOn w:val="Normal"/>
    <w:link w:val="FooterChar"/>
    <w:uiPriority w:val="99"/>
    <w:unhideWhenUsed/>
    <w:rsid w:val="00FF74A9"/>
    <w:pPr>
      <w:tabs>
        <w:tab w:val="center" w:pos="4680"/>
        <w:tab w:val="right" w:pos="9360"/>
      </w:tabs>
    </w:pPr>
  </w:style>
  <w:style w:type="character" w:customStyle="1" w:styleId="FooterChar">
    <w:name w:val="Footer Char"/>
    <w:basedOn w:val="DefaultParagraphFont"/>
    <w:link w:val="Footer"/>
    <w:uiPriority w:val="99"/>
    <w:rsid w:val="00FF74A9"/>
  </w:style>
  <w:style w:type="character" w:styleId="Hyperlink">
    <w:name w:val="Hyperlink"/>
    <w:basedOn w:val="DefaultParagraphFont"/>
    <w:uiPriority w:val="99"/>
    <w:unhideWhenUsed/>
    <w:rsid w:val="004E1AE7"/>
    <w:rPr>
      <w:color w:val="467886" w:themeColor="hyperlink"/>
      <w:u w:val="single"/>
    </w:rPr>
  </w:style>
  <w:style w:type="character" w:styleId="UnresolvedMention">
    <w:name w:val="Unresolved Mention"/>
    <w:basedOn w:val="DefaultParagraphFont"/>
    <w:uiPriority w:val="99"/>
    <w:semiHidden/>
    <w:unhideWhenUsed/>
    <w:rsid w:val="004E1AE7"/>
    <w:rPr>
      <w:color w:val="605E5C"/>
      <w:shd w:val="clear" w:color="auto" w:fill="E1DFDD"/>
    </w:rPr>
  </w:style>
  <w:style w:type="paragraph" w:customStyle="1" w:styleId="Default">
    <w:name w:val="Default"/>
    <w:rsid w:val="004E1AE7"/>
    <w:pPr>
      <w:autoSpaceDE w:val="0"/>
      <w:autoSpaceDN w:val="0"/>
      <w:adjustRightInd w:val="0"/>
    </w:pPr>
    <w:rPr>
      <w:rFonts w:ascii="Calibri" w:hAnsi="Calibri" w:cs="Calibri"/>
      <w:color w:val="000000"/>
      <w:kern w:val="0"/>
    </w:rPr>
  </w:style>
  <w:style w:type="character" w:styleId="FollowedHyperlink">
    <w:name w:val="FollowedHyperlink"/>
    <w:basedOn w:val="DefaultParagraphFont"/>
    <w:uiPriority w:val="99"/>
    <w:semiHidden/>
    <w:unhideWhenUsed/>
    <w:rsid w:val="006A7A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nesaw.edu/curriculum-instruction-assessment/academic-program-planning-development/resources/student-syllabus-resources.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kennesaw.edu/preview_program.php?catoid=77&amp;poid=10555&amp;returnto=76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nesaw.edu/preview_program.php?catoid=77&amp;poid=10555&amp;returnto=76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ia.kennesaw.edu/instructional-resources/Accessible_sample%20syllabus%20template%20.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Date xmlns="2b50b422-c025-439b-8df6-71285c110892" xsi:nil="true"/>
    <TaxCatchAll xmlns="09241bc2-aa07-462a-9c49-d382f2ea7c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0CDDC-6CFC-4367-8174-A299CC86D6FC}">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2.xml><?xml version="1.0" encoding="utf-8"?>
<ds:datastoreItem xmlns:ds="http://schemas.openxmlformats.org/officeDocument/2006/customXml" ds:itemID="{155C2879-9BBD-4FF4-896C-CAC104A74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AE50-37F6-43F5-B95D-CEC4C6475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Head</dc:creator>
  <cp:keywords/>
  <dc:description/>
  <cp:lastModifiedBy>Ashley Doehling</cp:lastModifiedBy>
  <cp:revision>8</cp:revision>
  <cp:lastPrinted>2024-10-29T12:43:00Z</cp:lastPrinted>
  <dcterms:created xsi:type="dcterms:W3CDTF">2024-10-29T12:43:00Z</dcterms:created>
  <dcterms:modified xsi:type="dcterms:W3CDTF">2024-11-11T16:31:00Z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