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0BEB9" w14:textId="72896AFC" w:rsidR="00705D48" w:rsidRPr="00B878B3" w:rsidRDefault="00705D48" w:rsidP="00705D48">
      <w:pPr>
        <w:ind w:left="1890"/>
        <w:jc w:val="right"/>
        <w:rPr>
          <w:rFonts w:ascii="Aptos" w:hAnsi="Aptos" w:cs="Times New Roman"/>
          <w:b/>
          <w:bCs/>
        </w:rPr>
      </w:pPr>
      <w:r w:rsidRPr="00B878B3">
        <w:rPr>
          <w:rFonts w:ascii="Aptos" w:hAnsi="Aptos" w:cs="Times New Roman"/>
          <w:b/>
          <w:bCs/>
        </w:rPr>
        <w:t>Double Owl Pathway of Study</w:t>
      </w:r>
    </w:p>
    <w:p w14:paraId="5F14FC35" w14:textId="2B1BD46D" w:rsidR="00001F7A" w:rsidRPr="00B878B3" w:rsidRDefault="00B878B3" w:rsidP="00705D48">
      <w:pPr>
        <w:ind w:left="1890"/>
        <w:jc w:val="right"/>
        <w:rPr>
          <w:rFonts w:ascii="Aptos" w:hAnsi="Aptos" w:cs="Times New Roman"/>
          <w:b/>
          <w:bCs/>
        </w:rPr>
      </w:pPr>
      <w:r w:rsidRPr="00157513">
        <w:rPr>
          <w:rFonts w:ascii="Aptos" w:hAnsi="Aptos"/>
          <w:noProof/>
        </w:rPr>
        <w:drawing>
          <wp:anchor distT="0" distB="0" distL="114300" distR="114300" simplePos="0" relativeHeight="251658240" behindDoc="0" locked="0" layoutInCell="1" allowOverlap="1" wp14:anchorId="5EB1F7CC" wp14:editId="27FA9DCF">
            <wp:simplePos x="0" y="0"/>
            <wp:positionH relativeFrom="column">
              <wp:posOffset>-122555</wp:posOffset>
            </wp:positionH>
            <wp:positionV relativeFrom="page">
              <wp:posOffset>696884</wp:posOffset>
            </wp:positionV>
            <wp:extent cx="1232535" cy="1198245"/>
            <wp:effectExtent l="0" t="0" r="0" b="0"/>
            <wp:wrapNone/>
            <wp:docPr id="3" name="Picture 2" descr="A picture containing drawing&#10;&#10;Description automatically generated">
              <a:extLst xmlns:a="http://schemas.openxmlformats.org/drawingml/2006/main">
                <a:ext uri="{FF2B5EF4-FFF2-40B4-BE49-F238E27FC236}">
                  <a16:creationId xmlns:a16="http://schemas.microsoft.com/office/drawing/2014/main" id="{6EEFD0D3-08DB-DE4D-91DA-FA00BB5AEF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EEFD0D3-08DB-DE4D-91DA-FA00BB5AEFF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2535" cy="1198245"/>
                    </a:xfrm>
                    <a:prstGeom prst="rect">
                      <a:avLst/>
                    </a:prstGeom>
                  </pic:spPr>
                </pic:pic>
              </a:graphicData>
            </a:graphic>
            <wp14:sizeRelH relativeFrom="page">
              <wp14:pctWidth>0</wp14:pctWidth>
            </wp14:sizeRelH>
            <wp14:sizeRelV relativeFrom="page">
              <wp14:pctHeight>0</wp14:pctHeight>
            </wp14:sizeRelV>
          </wp:anchor>
        </w:drawing>
      </w:r>
      <w:r w:rsidR="00001F7A" w:rsidRPr="00157513">
        <w:rPr>
          <w:rFonts w:ascii="Aptos" w:hAnsi="Aptos" w:cs="Times New Roman"/>
          <w:b/>
          <w:bCs/>
        </w:rPr>
        <w:t>EFFECT TERM:</w:t>
      </w:r>
      <w:r w:rsidR="00157513">
        <w:rPr>
          <w:rFonts w:ascii="Aptos" w:hAnsi="Aptos" w:cs="Times New Roman"/>
          <w:b/>
          <w:bCs/>
        </w:rPr>
        <w:t xml:space="preserve"> </w:t>
      </w:r>
      <w:r w:rsidR="003E4FF5">
        <w:rPr>
          <w:rFonts w:ascii="Aptos" w:hAnsi="Aptos" w:cs="Times New Roman"/>
        </w:rPr>
        <w:t>Spring</w:t>
      </w:r>
      <w:r w:rsidR="00157513" w:rsidRPr="00157513">
        <w:rPr>
          <w:rFonts w:ascii="Aptos" w:hAnsi="Aptos" w:cs="Times New Roman"/>
        </w:rPr>
        <w:t xml:space="preserve"> 2026</w:t>
      </w:r>
    </w:p>
    <w:p w14:paraId="45FC432D" w14:textId="2EBB180B" w:rsidR="00705D48" w:rsidRPr="00B878B3" w:rsidRDefault="00705D48" w:rsidP="00DB7ED2">
      <w:pPr>
        <w:tabs>
          <w:tab w:val="center" w:pos="6345"/>
        </w:tabs>
        <w:ind w:left="1890"/>
        <w:rPr>
          <w:rFonts w:ascii="Aptos" w:hAnsi="Aptos" w:cs="Times New Roman"/>
          <w:b/>
          <w:bCs/>
        </w:rPr>
      </w:pPr>
      <w:r w:rsidRPr="00B878B3">
        <w:rPr>
          <w:rFonts w:ascii="Aptos" w:hAnsi="Aptos" w:cs="Times New Roman"/>
          <w:b/>
          <w:bCs/>
        </w:rPr>
        <w:t xml:space="preserve">Undergraduate </w:t>
      </w:r>
      <w:r w:rsidR="006D117F" w:rsidRPr="00B878B3">
        <w:rPr>
          <w:rFonts w:ascii="Aptos" w:hAnsi="Aptos" w:cs="Times New Roman"/>
          <w:b/>
          <w:bCs/>
        </w:rPr>
        <w:t>Program Name</w:t>
      </w:r>
      <w:r w:rsidRPr="00B878B3">
        <w:rPr>
          <w:rFonts w:ascii="Aptos" w:hAnsi="Aptos" w:cs="Times New Roman"/>
          <w:b/>
          <w:bCs/>
        </w:rPr>
        <w:t>:</w:t>
      </w:r>
      <w:r w:rsidR="00DB7ED2">
        <w:rPr>
          <w:rFonts w:ascii="Aptos" w:hAnsi="Aptos" w:cs="Times New Roman"/>
          <w:b/>
          <w:bCs/>
        </w:rPr>
        <w:t xml:space="preserve"> </w:t>
      </w:r>
      <w:r w:rsidR="00DB7ED2" w:rsidRPr="00DB7ED2">
        <w:rPr>
          <w:rFonts w:ascii="Aptos" w:hAnsi="Aptos" w:cs="Times New Roman"/>
        </w:rPr>
        <w:t>Bachelor of Science in Mathematics</w:t>
      </w:r>
    </w:p>
    <w:p w14:paraId="441F0BBD" w14:textId="77777777" w:rsidR="00D87CC6" w:rsidRPr="00B878B3" w:rsidRDefault="00D87CC6" w:rsidP="006D117F">
      <w:pPr>
        <w:ind w:left="1890"/>
        <w:rPr>
          <w:rFonts w:ascii="Aptos" w:hAnsi="Aptos" w:cs="Times New Roman"/>
          <w:b/>
          <w:bCs/>
        </w:rPr>
      </w:pPr>
    </w:p>
    <w:p w14:paraId="6DB93A73" w14:textId="754C4092" w:rsidR="006D117F" w:rsidRPr="00B878B3" w:rsidRDefault="00705D48" w:rsidP="00705D48">
      <w:pPr>
        <w:ind w:left="1890"/>
        <w:rPr>
          <w:rFonts w:ascii="Aptos" w:hAnsi="Aptos" w:cs="Times New Roman"/>
        </w:rPr>
      </w:pPr>
      <w:r w:rsidRPr="00B878B3">
        <w:rPr>
          <w:rFonts w:ascii="Aptos" w:hAnsi="Aptos" w:cs="Times New Roman"/>
          <w:b/>
          <w:bCs/>
        </w:rPr>
        <w:t>Graduate Program Name:</w:t>
      </w:r>
      <w:r w:rsidR="00DB7ED2">
        <w:rPr>
          <w:rFonts w:ascii="Aptos" w:hAnsi="Aptos" w:cs="Times New Roman"/>
        </w:rPr>
        <w:t xml:space="preserve"> Master of Arts in Teaching, Secondary Mathematics Concentration</w:t>
      </w:r>
      <w:r w:rsidR="006D117F" w:rsidRPr="00B878B3">
        <w:rPr>
          <w:rFonts w:ascii="Aptos" w:hAnsi="Aptos" w:cs="Times New Roman"/>
        </w:rPr>
        <w:br/>
      </w:r>
    </w:p>
    <w:p w14:paraId="760442D0" w14:textId="74531E27" w:rsidR="006D117F" w:rsidRPr="00DB7ED2" w:rsidRDefault="00705D48" w:rsidP="006D117F">
      <w:pPr>
        <w:ind w:left="1890"/>
        <w:rPr>
          <w:rFonts w:ascii="Aptos" w:hAnsi="Aptos" w:cs="Times New Roman"/>
        </w:rPr>
      </w:pPr>
      <w:r w:rsidRPr="00B878B3">
        <w:rPr>
          <w:rFonts w:ascii="Aptos" w:hAnsi="Aptos" w:cs="Times New Roman"/>
          <w:b/>
          <w:bCs/>
        </w:rPr>
        <w:t>Pathway</w:t>
      </w:r>
      <w:r w:rsidR="006D117F" w:rsidRPr="00B878B3">
        <w:rPr>
          <w:rFonts w:ascii="Aptos" w:hAnsi="Aptos" w:cs="Times New Roman"/>
          <w:b/>
          <w:bCs/>
        </w:rPr>
        <w:t xml:space="preserve"> Description:</w:t>
      </w:r>
      <w:r w:rsidR="00DB7ED2">
        <w:rPr>
          <w:rFonts w:ascii="Aptos" w:hAnsi="Aptos" w:cs="Times New Roman"/>
        </w:rPr>
        <w:t xml:space="preserve"> </w:t>
      </w:r>
      <w:r w:rsidR="00DB7ED2" w:rsidRPr="00DB7ED2">
        <w:rPr>
          <w:rFonts w:ascii="Aptos" w:hAnsi="Aptos" w:cs="Times New Roman"/>
        </w:rPr>
        <w:t>Individuals who complete the BS Mathematics and MAT Secondary Mathematics will be regarded as highly qualified to teach grades 6–12 mathematics. Having completed the MAT, these individuals are qualified to pursue an advanced degree in education, such as an Education Specialist (</w:t>
      </w:r>
      <w:proofErr w:type="spellStart"/>
      <w:r w:rsidR="00DB7ED2" w:rsidRPr="00DB7ED2">
        <w:rPr>
          <w:rFonts w:ascii="Aptos" w:hAnsi="Aptos" w:cs="Times New Roman"/>
        </w:rPr>
        <w:t>EdS</w:t>
      </w:r>
      <w:proofErr w:type="spellEnd"/>
      <w:r w:rsidR="00DB7ED2" w:rsidRPr="00DB7ED2">
        <w:rPr>
          <w:rFonts w:ascii="Aptos" w:hAnsi="Aptos" w:cs="Times New Roman"/>
        </w:rPr>
        <w:t xml:space="preserve">), Doctor of Education (EdD), or Doctor of Philosophy (PhD), each in a variety of related disciplines. Some MAT graduates may pursue a </w:t>
      </w:r>
      <w:proofErr w:type="gramStart"/>
      <w:r w:rsidR="00CA7408" w:rsidRPr="00DB7ED2">
        <w:rPr>
          <w:rFonts w:ascii="Aptos" w:hAnsi="Aptos" w:cs="Times New Roman"/>
        </w:rPr>
        <w:t>Master’s</w:t>
      </w:r>
      <w:proofErr w:type="gramEnd"/>
      <w:r w:rsidR="00DB7ED2" w:rsidRPr="00DB7ED2">
        <w:rPr>
          <w:rFonts w:ascii="Aptos" w:hAnsi="Aptos" w:cs="Times New Roman"/>
        </w:rPr>
        <w:t xml:space="preserve"> degree (MA) in Mathematics or similar field, such as statistics or computer science.</w:t>
      </w:r>
    </w:p>
    <w:p w14:paraId="0944FED4" w14:textId="36F0AF6F" w:rsidR="007C6BD1" w:rsidRPr="00B878B3" w:rsidRDefault="007C6BD1" w:rsidP="006D117F">
      <w:pPr>
        <w:ind w:left="1890"/>
        <w:rPr>
          <w:rFonts w:ascii="Aptos" w:hAnsi="Aptos" w:cs="Times New Roman"/>
        </w:rPr>
      </w:pPr>
    </w:p>
    <w:p w14:paraId="58D68A00" w14:textId="04E2F160" w:rsidR="00705D48" w:rsidRPr="00B878B3" w:rsidRDefault="00705D48" w:rsidP="00B878B3">
      <w:pPr>
        <w:rPr>
          <w:rFonts w:ascii="Aptos" w:hAnsi="Aptos" w:cs="Times New Roman"/>
          <w:b/>
          <w:bCs/>
        </w:rPr>
      </w:pPr>
      <w:r w:rsidRPr="00B878B3">
        <w:rPr>
          <w:rFonts w:ascii="Aptos" w:hAnsi="Aptos" w:cs="Times New Roman"/>
          <w:b/>
          <w:bCs/>
        </w:rPr>
        <w:t>Course Pairs:</w:t>
      </w:r>
    </w:p>
    <w:p w14:paraId="34689198" w14:textId="77777777" w:rsidR="00B878B3" w:rsidRPr="00B878B3" w:rsidRDefault="00B878B3" w:rsidP="006D117F">
      <w:pPr>
        <w:ind w:left="1890"/>
        <w:rPr>
          <w:rFonts w:ascii="Aptos" w:hAnsi="Aptos" w:cs="Times New Roman"/>
        </w:rPr>
      </w:pPr>
    </w:p>
    <w:tbl>
      <w:tblPr>
        <w:tblStyle w:val="TableGrid"/>
        <w:tblW w:w="0" w:type="auto"/>
        <w:jc w:val="center"/>
        <w:tblLook w:val="04A0" w:firstRow="1" w:lastRow="0" w:firstColumn="1" w:lastColumn="0" w:noHBand="0" w:noVBand="1"/>
      </w:tblPr>
      <w:tblGrid>
        <w:gridCol w:w="2776"/>
        <w:gridCol w:w="2618"/>
        <w:gridCol w:w="2778"/>
      </w:tblGrid>
      <w:tr w:rsidR="003E4FF5" w:rsidRPr="00B878B3" w14:paraId="78426ABB" w14:textId="77F3775D" w:rsidTr="00B878B3">
        <w:trPr>
          <w:jc w:val="center"/>
        </w:trPr>
        <w:tc>
          <w:tcPr>
            <w:tcW w:w="2776" w:type="dxa"/>
            <w:shd w:val="clear" w:color="auto" w:fill="000000" w:themeFill="text1"/>
            <w:vAlign w:val="bottom"/>
          </w:tcPr>
          <w:p w14:paraId="453055D2" w14:textId="40F0CF81" w:rsidR="003E4FF5" w:rsidRPr="00B878B3" w:rsidRDefault="003E4FF5" w:rsidP="00B878B3">
            <w:pPr>
              <w:autoSpaceDE w:val="0"/>
              <w:autoSpaceDN w:val="0"/>
              <w:adjustRightInd w:val="0"/>
              <w:rPr>
                <w:rFonts w:ascii="Aptos" w:hAnsi="Aptos" w:cs="Times New Roman"/>
                <w:sz w:val="22"/>
                <w:szCs w:val="22"/>
              </w:rPr>
            </w:pPr>
            <w:r w:rsidRPr="00B878B3">
              <w:rPr>
                <w:rFonts w:ascii="Aptos" w:hAnsi="Aptos" w:cs="Times New Roman"/>
                <w:color w:val="FFC000" w:themeColor="accent4"/>
                <w:sz w:val="22"/>
                <w:szCs w:val="22"/>
              </w:rPr>
              <w:t xml:space="preserve">Double Owl Scholars will NOT take the following </w:t>
            </w:r>
            <w:r w:rsidRPr="00B878B3">
              <w:rPr>
                <w:rFonts w:ascii="Aptos" w:hAnsi="Aptos" w:cs="Times New Roman"/>
                <w:b/>
                <w:bCs/>
                <w:color w:val="FFC000" w:themeColor="accent4"/>
                <w:sz w:val="22"/>
                <w:szCs w:val="22"/>
              </w:rPr>
              <w:t xml:space="preserve">UNDERGRADAUTE </w:t>
            </w:r>
            <w:r w:rsidRPr="00B878B3">
              <w:rPr>
                <w:rFonts w:ascii="Aptos" w:hAnsi="Aptos" w:cs="Times New Roman"/>
                <w:color w:val="FFC000" w:themeColor="accent4"/>
                <w:sz w:val="22"/>
                <w:szCs w:val="22"/>
              </w:rPr>
              <w:t>courses:</w:t>
            </w:r>
          </w:p>
        </w:tc>
        <w:tc>
          <w:tcPr>
            <w:tcW w:w="2618" w:type="dxa"/>
            <w:shd w:val="clear" w:color="auto" w:fill="000000" w:themeFill="text1"/>
            <w:vAlign w:val="bottom"/>
          </w:tcPr>
          <w:p w14:paraId="25369D70" w14:textId="0D1C2705" w:rsidR="003E4FF5" w:rsidRPr="00B878B3" w:rsidRDefault="003E4FF5" w:rsidP="00B878B3">
            <w:pPr>
              <w:autoSpaceDE w:val="0"/>
              <w:autoSpaceDN w:val="0"/>
              <w:adjustRightInd w:val="0"/>
              <w:rPr>
                <w:rFonts w:ascii="Aptos" w:hAnsi="Aptos" w:cs="Times New Roman"/>
                <w:sz w:val="22"/>
                <w:szCs w:val="22"/>
              </w:rPr>
            </w:pPr>
            <w:r w:rsidRPr="00B878B3">
              <w:rPr>
                <w:rFonts w:ascii="Aptos" w:hAnsi="Aptos" w:cs="Times New Roman"/>
                <w:sz w:val="22"/>
                <w:szCs w:val="22"/>
              </w:rPr>
              <w:t>Location in UNDERGRADUATE Program</w:t>
            </w:r>
          </w:p>
          <w:p w14:paraId="0A620297" w14:textId="3E322808" w:rsidR="003E4FF5" w:rsidRPr="00B878B3" w:rsidRDefault="003E4FF5" w:rsidP="00B878B3">
            <w:pPr>
              <w:autoSpaceDE w:val="0"/>
              <w:autoSpaceDN w:val="0"/>
              <w:adjustRightInd w:val="0"/>
              <w:rPr>
                <w:rFonts w:ascii="Aptos" w:hAnsi="Aptos" w:cs="Times New Roman"/>
                <w:sz w:val="22"/>
                <w:szCs w:val="22"/>
              </w:rPr>
            </w:pPr>
            <w:r w:rsidRPr="00B878B3">
              <w:rPr>
                <w:rFonts w:ascii="Aptos" w:hAnsi="Aptos" w:cs="Times New Roman"/>
                <w:sz w:val="22"/>
                <w:szCs w:val="22"/>
              </w:rPr>
              <w:t>(i.e. list the catalog header that the course appears under)</w:t>
            </w:r>
          </w:p>
        </w:tc>
        <w:tc>
          <w:tcPr>
            <w:tcW w:w="2778" w:type="dxa"/>
            <w:shd w:val="clear" w:color="auto" w:fill="000000" w:themeFill="text1"/>
            <w:vAlign w:val="bottom"/>
          </w:tcPr>
          <w:p w14:paraId="6A59208B" w14:textId="1E25EEDA" w:rsidR="003E4FF5" w:rsidRPr="00B878B3" w:rsidRDefault="003E4FF5" w:rsidP="00B878B3">
            <w:pPr>
              <w:autoSpaceDE w:val="0"/>
              <w:autoSpaceDN w:val="0"/>
              <w:adjustRightInd w:val="0"/>
              <w:rPr>
                <w:rFonts w:ascii="Aptos" w:hAnsi="Aptos" w:cs="Times New Roman"/>
                <w:sz w:val="22"/>
                <w:szCs w:val="22"/>
              </w:rPr>
            </w:pPr>
            <w:r w:rsidRPr="00B878B3">
              <w:rPr>
                <w:rFonts w:ascii="Aptos" w:hAnsi="Aptos" w:cs="Times New Roman"/>
                <w:color w:val="FFC000" w:themeColor="accent4"/>
                <w:sz w:val="22"/>
                <w:szCs w:val="22"/>
              </w:rPr>
              <w:t>In their place, Double Owl Scholars will take the following</w:t>
            </w:r>
            <w:r w:rsidRPr="00B878B3">
              <w:rPr>
                <w:rFonts w:ascii="Aptos" w:hAnsi="Aptos" w:cs="Times New Roman"/>
                <w:b/>
                <w:bCs/>
                <w:color w:val="FFC000" w:themeColor="accent4"/>
                <w:sz w:val="22"/>
                <w:szCs w:val="22"/>
              </w:rPr>
              <w:t xml:space="preserve"> GRADUATE</w:t>
            </w:r>
            <w:r w:rsidRPr="00B878B3">
              <w:rPr>
                <w:rFonts w:ascii="Aptos" w:hAnsi="Aptos" w:cs="Times New Roman"/>
                <w:color w:val="FFC000" w:themeColor="accent4"/>
                <w:sz w:val="22"/>
                <w:szCs w:val="22"/>
              </w:rPr>
              <w:t xml:space="preserve"> courses:</w:t>
            </w:r>
          </w:p>
        </w:tc>
      </w:tr>
      <w:tr w:rsidR="003E4FF5" w:rsidRPr="00B878B3" w14:paraId="778B8FFF" w14:textId="25686C7A" w:rsidTr="00B878B3">
        <w:trPr>
          <w:jc w:val="center"/>
        </w:trPr>
        <w:tc>
          <w:tcPr>
            <w:tcW w:w="2776" w:type="dxa"/>
            <w:vMerge w:val="restart"/>
          </w:tcPr>
          <w:p w14:paraId="270579E7" w14:textId="62C2AAE8" w:rsidR="003E4FF5" w:rsidRPr="00B878B3" w:rsidRDefault="003E4FF5" w:rsidP="00883CF4">
            <w:pPr>
              <w:autoSpaceDE w:val="0"/>
              <w:autoSpaceDN w:val="0"/>
              <w:adjustRightInd w:val="0"/>
              <w:rPr>
                <w:rFonts w:ascii="Aptos" w:hAnsi="Aptos" w:cs="Times New Roman"/>
              </w:rPr>
            </w:pPr>
            <w:r>
              <w:rPr>
                <w:rFonts w:ascii="Aptos" w:hAnsi="Aptos" w:cs="Times New Roman"/>
              </w:rPr>
              <w:t>Not a specific course, but is replacing all 9 credit hours from the “Related Studies” portion of the BS Mathematics degree</w:t>
            </w:r>
          </w:p>
        </w:tc>
        <w:tc>
          <w:tcPr>
            <w:tcW w:w="2618" w:type="dxa"/>
            <w:vMerge w:val="restart"/>
            <w:shd w:val="clear" w:color="auto" w:fill="E7E6E6" w:themeFill="background2"/>
          </w:tcPr>
          <w:p w14:paraId="35CEE4CF" w14:textId="156C34C9" w:rsidR="003E4FF5" w:rsidRPr="00B878B3" w:rsidRDefault="003E4FF5" w:rsidP="00883CF4">
            <w:pPr>
              <w:rPr>
                <w:rFonts w:ascii="Aptos" w:hAnsi="Aptos"/>
              </w:rPr>
            </w:pPr>
            <w:r>
              <w:rPr>
                <w:rFonts w:ascii="Aptos" w:hAnsi="Aptos"/>
              </w:rPr>
              <w:t>Major Electives – Related Studies</w:t>
            </w:r>
          </w:p>
        </w:tc>
        <w:tc>
          <w:tcPr>
            <w:tcW w:w="2778" w:type="dxa"/>
          </w:tcPr>
          <w:p w14:paraId="18225109" w14:textId="08554573" w:rsidR="003E4FF5" w:rsidRPr="00B878B3" w:rsidRDefault="003E4FF5" w:rsidP="00883CF4">
            <w:pPr>
              <w:rPr>
                <w:rFonts w:ascii="Aptos" w:hAnsi="Aptos"/>
              </w:rPr>
            </w:pPr>
            <w:r>
              <w:rPr>
                <w:rFonts w:ascii="Aptos" w:hAnsi="Aptos"/>
              </w:rPr>
              <w:t>EDUC 6240</w:t>
            </w:r>
          </w:p>
        </w:tc>
      </w:tr>
      <w:tr w:rsidR="003E4FF5" w:rsidRPr="00B878B3" w14:paraId="42FCC06C" w14:textId="19BABB09" w:rsidTr="00B878B3">
        <w:trPr>
          <w:jc w:val="center"/>
        </w:trPr>
        <w:tc>
          <w:tcPr>
            <w:tcW w:w="2776" w:type="dxa"/>
            <w:vMerge/>
          </w:tcPr>
          <w:p w14:paraId="40201FA6" w14:textId="7EBDD7CD" w:rsidR="003E4FF5" w:rsidRPr="00B878B3" w:rsidRDefault="003E4FF5" w:rsidP="00883CF4">
            <w:pPr>
              <w:autoSpaceDE w:val="0"/>
              <w:autoSpaceDN w:val="0"/>
              <w:adjustRightInd w:val="0"/>
              <w:rPr>
                <w:rFonts w:ascii="Aptos" w:hAnsi="Aptos" w:cs="Times New Roman"/>
              </w:rPr>
            </w:pPr>
          </w:p>
        </w:tc>
        <w:tc>
          <w:tcPr>
            <w:tcW w:w="2618" w:type="dxa"/>
            <w:vMerge/>
            <w:shd w:val="clear" w:color="auto" w:fill="E7E6E6" w:themeFill="background2"/>
          </w:tcPr>
          <w:p w14:paraId="18084ADC" w14:textId="77777777" w:rsidR="003E4FF5" w:rsidRPr="00B878B3" w:rsidRDefault="003E4FF5" w:rsidP="00883CF4">
            <w:pPr>
              <w:rPr>
                <w:rFonts w:ascii="Aptos" w:hAnsi="Aptos"/>
              </w:rPr>
            </w:pPr>
          </w:p>
        </w:tc>
        <w:tc>
          <w:tcPr>
            <w:tcW w:w="2778" w:type="dxa"/>
          </w:tcPr>
          <w:p w14:paraId="2B6B0071" w14:textId="13617E31" w:rsidR="003E4FF5" w:rsidRPr="00B878B3" w:rsidRDefault="003E4FF5" w:rsidP="00883CF4">
            <w:pPr>
              <w:rPr>
                <w:rFonts w:ascii="Aptos" w:hAnsi="Aptos"/>
              </w:rPr>
            </w:pPr>
            <w:r>
              <w:rPr>
                <w:rFonts w:ascii="Aptos" w:hAnsi="Aptos"/>
              </w:rPr>
              <w:t>MAED 6495</w:t>
            </w:r>
          </w:p>
        </w:tc>
      </w:tr>
      <w:tr w:rsidR="003E4FF5" w:rsidRPr="00B878B3" w14:paraId="714BE123" w14:textId="18FCC878" w:rsidTr="00B878B3">
        <w:trPr>
          <w:trHeight w:val="287"/>
          <w:jc w:val="center"/>
        </w:trPr>
        <w:tc>
          <w:tcPr>
            <w:tcW w:w="2776" w:type="dxa"/>
            <w:vMerge/>
          </w:tcPr>
          <w:p w14:paraId="756ED31C" w14:textId="0708FC25" w:rsidR="003E4FF5" w:rsidRPr="00B878B3" w:rsidRDefault="003E4FF5" w:rsidP="00883CF4">
            <w:pPr>
              <w:rPr>
                <w:rFonts w:ascii="Aptos" w:hAnsi="Aptos" w:cs="Times New Roman"/>
              </w:rPr>
            </w:pPr>
          </w:p>
        </w:tc>
        <w:tc>
          <w:tcPr>
            <w:tcW w:w="2618" w:type="dxa"/>
            <w:vMerge/>
            <w:shd w:val="clear" w:color="auto" w:fill="E7E6E6" w:themeFill="background2"/>
          </w:tcPr>
          <w:p w14:paraId="742B1FE1" w14:textId="77777777" w:rsidR="003E4FF5" w:rsidRPr="00B878B3" w:rsidRDefault="003E4FF5" w:rsidP="00883CF4">
            <w:pPr>
              <w:rPr>
                <w:rFonts w:ascii="Aptos" w:hAnsi="Aptos"/>
              </w:rPr>
            </w:pPr>
          </w:p>
        </w:tc>
        <w:tc>
          <w:tcPr>
            <w:tcW w:w="2778" w:type="dxa"/>
          </w:tcPr>
          <w:p w14:paraId="37A5DE3F" w14:textId="68EF0DAA" w:rsidR="003E4FF5" w:rsidRPr="00B878B3" w:rsidRDefault="003E4FF5" w:rsidP="00883CF4">
            <w:pPr>
              <w:rPr>
                <w:rFonts w:ascii="Aptos" w:hAnsi="Aptos"/>
              </w:rPr>
            </w:pPr>
            <w:r>
              <w:rPr>
                <w:rFonts w:ascii="Aptos" w:hAnsi="Aptos"/>
              </w:rPr>
              <w:t>MAED 7495</w:t>
            </w:r>
          </w:p>
        </w:tc>
      </w:tr>
    </w:tbl>
    <w:p w14:paraId="7DE00307" w14:textId="77777777" w:rsidR="006D117F" w:rsidRPr="00B878B3" w:rsidRDefault="006D117F" w:rsidP="0071481F">
      <w:pPr>
        <w:rPr>
          <w:rFonts w:ascii="Aptos" w:hAnsi="Aptos"/>
        </w:rPr>
      </w:pPr>
    </w:p>
    <w:p w14:paraId="6F730402" w14:textId="2A6DA475" w:rsidR="002660F4" w:rsidRPr="00B878B3" w:rsidRDefault="002660F4">
      <w:pPr>
        <w:rPr>
          <w:rFonts w:ascii="Aptos" w:hAnsi="Aptos"/>
        </w:rPr>
      </w:pPr>
    </w:p>
    <w:p w14:paraId="60B2773C" w14:textId="399523CC" w:rsidR="00DA61F5" w:rsidRPr="00B878B3" w:rsidRDefault="00DA61F5" w:rsidP="00DA61F5">
      <w:pPr>
        <w:rPr>
          <w:rFonts w:ascii="Aptos" w:hAnsi="Aptos" w:cs="Times New Roman"/>
          <w:sz w:val="21"/>
          <w:szCs w:val="21"/>
        </w:rPr>
      </w:pPr>
    </w:p>
    <w:p w14:paraId="298B0B46" w14:textId="3ECA8278" w:rsidR="00DA61F5" w:rsidRPr="00B878B3" w:rsidRDefault="00C35106" w:rsidP="00DA61F5">
      <w:pPr>
        <w:ind w:left="630"/>
        <w:rPr>
          <w:rFonts w:ascii="Aptos" w:hAnsi="Aptos" w:cs="Times New Roman"/>
          <w:sz w:val="21"/>
          <w:szCs w:val="21"/>
        </w:rPr>
      </w:pPr>
      <w:r w:rsidRPr="00B878B3">
        <w:rPr>
          <w:rFonts w:ascii="Aptos" w:hAnsi="Aptos" w:cs="Times New Roman"/>
          <w:b/>
          <w:bCs/>
          <w:sz w:val="21"/>
          <w:szCs w:val="21"/>
        </w:rPr>
        <w:t>PATHWAY</w:t>
      </w:r>
      <w:r w:rsidR="00DA61F5" w:rsidRPr="00B878B3">
        <w:rPr>
          <w:rFonts w:ascii="Aptos" w:hAnsi="Aptos" w:cs="Times New Roman"/>
          <w:b/>
          <w:bCs/>
          <w:sz w:val="21"/>
          <w:szCs w:val="21"/>
        </w:rPr>
        <w:t xml:space="preserve"> TOTAL:</w:t>
      </w:r>
      <w:r w:rsidR="00DA61F5" w:rsidRPr="00B878B3">
        <w:rPr>
          <w:rFonts w:ascii="Aptos" w:hAnsi="Aptos" w:cs="Times New Roman"/>
          <w:sz w:val="21"/>
          <w:szCs w:val="21"/>
        </w:rPr>
        <w:t xml:space="preserve"> </w:t>
      </w:r>
      <w:r w:rsidR="005179D2">
        <w:rPr>
          <w:rFonts w:ascii="Aptos" w:hAnsi="Aptos" w:cs="Times New Roman"/>
          <w:sz w:val="21"/>
          <w:szCs w:val="21"/>
        </w:rPr>
        <w:t>9 credit hours</w:t>
      </w:r>
    </w:p>
    <w:p w14:paraId="341B4827" w14:textId="15ABD4EA" w:rsidR="00D87CC6" w:rsidRPr="00B878B3" w:rsidRDefault="00D87CC6" w:rsidP="00DA61F5">
      <w:pPr>
        <w:ind w:left="630"/>
        <w:rPr>
          <w:rFonts w:ascii="Aptos" w:hAnsi="Aptos" w:cs="Times New Roman"/>
          <w:sz w:val="21"/>
          <w:szCs w:val="21"/>
        </w:rPr>
      </w:pPr>
    </w:p>
    <w:p w14:paraId="2BBA0E16" w14:textId="1BBB2C2C" w:rsidR="00D87CC6" w:rsidRPr="00B878B3" w:rsidRDefault="00D87CC6" w:rsidP="003E4FF5">
      <w:pPr>
        <w:rPr>
          <w:rFonts w:ascii="Aptos" w:hAnsi="Aptos" w:cs="Times New Roman"/>
          <w:sz w:val="21"/>
          <w:szCs w:val="21"/>
        </w:rPr>
      </w:pPr>
    </w:p>
    <w:p w14:paraId="769A6714" w14:textId="77777777" w:rsidR="00D87CC6" w:rsidRPr="00B878B3" w:rsidRDefault="00D87CC6" w:rsidP="00DA61F5">
      <w:pPr>
        <w:ind w:left="630"/>
        <w:rPr>
          <w:rFonts w:ascii="Aptos" w:hAnsi="Aptos" w:cs="Times New Roman"/>
          <w:sz w:val="21"/>
          <w:szCs w:val="21"/>
        </w:rPr>
      </w:pPr>
    </w:p>
    <w:sectPr w:rsidR="00D87CC6" w:rsidRPr="00B878B3" w:rsidSect="00C35106">
      <w:footerReference w:type="default" r:id="rId11"/>
      <w:pgSz w:w="12240" w:h="15840"/>
      <w:pgMar w:top="495" w:right="720" w:bottom="549" w:left="720" w:header="720"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6F9FA" w14:textId="77777777" w:rsidR="00BC4230" w:rsidRDefault="00BC4230" w:rsidP="00C35106">
      <w:r>
        <w:separator/>
      </w:r>
    </w:p>
  </w:endnote>
  <w:endnote w:type="continuationSeparator" w:id="0">
    <w:p w14:paraId="63925FE9" w14:textId="77777777" w:rsidR="00BC4230" w:rsidRDefault="00BC4230" w:rsidP="00C3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ED2A" w14:textId="10E90432" w:rsidR="00C35106" w:rsidRDefault="00C35106">
    <w:pPr>
      <w:pStyle w:val="Footer"/>
    </w:pPr>
    <w:r>
      <w:t>Date Last Revised:</w:t>
    </w:r>
    <w:r w:rsidR="00B878B3">
      <w:t xml:space="preserve">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41107" w14:textId="77777777" w:rsidR="00BC4230" w:rsidRDefault="00BC4230" w:rsidP="00C35106">
      <w:r>
        <w:separator/>
      </w:r>
    </w:p>
  </w:footnote>
  <w:footnote w:type="continuationSeparator" w:id="0">
    <w:p w14:paraId="797DB838" w14:textId="77777777" w:rsidR="00BC4230" w:rsidRDefault="00BC4230" w:rsidP="00C35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F4"/>
    <w:rsid w:val="00001F7A"/>
    <w:rsid w:val="000E519B"/>
    <w:rsid w:val="00117966"/>
    <w:rsid w:val="0015613A"/>
    <w:rsid w:val="00157513"/>
    <w:rsid w:val="00187B15"/>
    <w:rsid w:val="00191110"/>
    <w:rsid w:val="00193F18"/>
    <w:rsid w:val="001F69C5"/>
    <w:rsid w:val="002660F4"/>
    <w:rsid w:val="002A49FA"/>
    <w:rsid w:val="0035680A"/>
    <w:rsid w:val="00362DBA"/>
    <w:rsid w:val="003A6734"/>
    <w:rsid w:val="003C2352"/>
    <w:rsid w:val="003C5574"/>
    <w:rsid w:val="003E4FF5"/>
    <w:rsid w:val="00461C59"/>
    <w:rsid w:val="00465EA4"/>
    <w:rsid w:val="00466D91"/>
    <w:rsid w:val="004B5D53"/>
    <w:rsid w:val="005179D2"/>
    <w:rsid w:val="00535ECB"/>
    <w:rsid w:val="006357A1"/>
    <w:rsid w:val="006D117F"/>
    <w:rsid w:val="00705D48"/>
    <w:rsid w:val="0071481F"/>
    <w:rsid w:val="0073669E"/>
    <w:rsid w:val="007A33E1"/>
    <w:rsid w:val="007C6BD1"/>
    <w:rsid w:val="00845C99"/>
    <w:rsid w:val="0086358A"/>
    <w:rsid w:val="00883CF4"/>
    <w:rsid w:val="008A090A"/>
    <w:rsid w:val="009B0F79"/>
    <w:rsid w:val="00AC7901"/>
    <w:rsid w:val="00B613B9"/>
    <w:rsid w:val="00B878B3"/>
    <w:rsid w:val="00BC4230"/>
    <w:rsid w:val="00BE093B"/>
    <w:rsid w:val="00C15F33"/>
    <w:rsid w:val="00C35106"/>
    <w:rsid w:val="00C55605"/>
    <w:rsid w:val="00C927CE"/>
    <w:rsid w:val="00CA7408"/>
    <w:rsid w:val="00D04746"/>
    <w:rsid w:val="00D87CC6"/>
    <w:rsid w:val="00D90974"/>
    <w:rsid w:val="00DA61F5"/>
    <w:rsid w:val="00DB7ED2"/>
    <w:rsid w:val="00DD3C4E"/>
    <w:rsid w:val="00E34801"/>
    <w:rsid w:val="3FBBAD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40E4"/>
  <w15:chartTrackingRefBased/>
  <w15:docId w15:val="{0F954E33-EF97-C74C-921E-30B585BA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5D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05D48"/>
    <w:rPr>
      <w:rFonts w:ascii="Times New Roman" w:hAnsi="Times New Roman" w:cs="Times New Roman"/>
      <w:sz w:val="18"/>
      <w:szCs w:val="18"/>
    </w:rPr>
  </w:style>
  <w:style w:type="table" w:styleId="TableGrid">
    <w:name w:val="Table Grid"/>
    <w:basedOn w:val="TableNormal"/>
    <w:uiPriority w:val="39"/>
    <w:rsid w:val="00714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106"/>
    <w:pPr>
      <w:tabs>
        <w:tab w:val="center" w:pos="4680"/>
        <w:tab w:val="right" w:pos="9360"/>
      </w:tabs>
    </w:pPr>
  </w:style>
  <w:style w:type="character" w:customStyle="1" w:styleId="HeaderChar">
    <w:name w:val="Header Char"/>
    <w:basedOn w:val="DefaultParagraphFont"/>
    <w:link w:val="Header"/>
    <w:uiPriority w:val="99"/>
    <w:rsid w:val="00C35106"/>
  </w:style>
  <w:style w:type="paragraph" w:styleId="Footer">
    <w:name w:val="footer"/>
    <w:basedOn w:val="Normal"/>
    <w:link w:val="FooterChar"/>
    <w:uiPriority w:val="99"/>
    <w:unhideWhenUsed/>
    <w:rsid w:val="00C35106"/>
    <w:pPr>
      <w:tabs>
        <w:tab w:val="center" w:pos="4680"/>
        <w:tab w:val="right" w:pos="9360"/>
      </w:tabs>
    </w:pPr>
  </w:style>
  <w:style w:type="character" w:customStyle="1" w:styleId="FooterChar">
    <w:name w:val="Footer Char"/>
    <w:basedOn w:val="DefaultParagraphFont"/>
    <w:link w:val="Footer"/>
    <w:uiPriority w:val="99"/>
    <w:rsid w:val="00C35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2428">
      <w:bodyDiv w:val="1"/>
      <w:marLeft w:val="0"/>
      <w:marRight w:val="0"/>
      <w:marTop w:val="0"/>
      <w:marBottom w:val="0"/>
      <w:divBdr>
        <w:top w:val="none" w:sz="0" w:space="0" w:color="auto"/>
        <w:left w:val="none" w:sz="0" w:space="0" w:color="auto"/>
        <w:bottom w:val="none" w:sz="0" w:space="0" w:color="auto"/>
        <w:right w:val="none" w:sz="0" w:space="0" w:color="auto"/>
      </w:divBdr>
    </w:div>
    <w:div w:id="809712544">
      <w:bodyDiv w:val="1"/>
      <w:marLeft w:val="0"/>
      <w:marRight w:val="0"/>
      <w:marTop w:val="0"/>
      <w:marBottom w:val="0"/>
      <w:divBdr>
        <w:top w:val="none" w:sz="0" w:space="0" w:color="auto"/>
        <w:left w:val="none" w:sz="0" w:space="0" w:color="auto"/>
        <w:bottom w:val="none" w:sz="0" w:space="0" w:color="auto"/>
        <w:right w:val="none" w:sz="0" w:space="0" w:color="auto"/>
      </w:divBdr>
    </w:div>
    <w:div w:id="909123599">
      <w:bodyDiv w:val="1"/>
      <w:marLeft w:val="0"/>
      <w:marRight w:val="0"/>
      <w:marTop w:val="0"/>
      <w:marBottom w:val="0"/>
      <w:divBdr>
        <w:top w:val="none" w:sz="0" w:space="0" w:color="auto"/>
        <w:left w:val="none" w:sz="0" w:space="0" w:color="auto"/>
        <w:bottom w:val="none" w:sz="0" w:space="0" w:color="auto"/>
        <w:right w:val="none" w:sz="0" w:space="0" w:color="auto"/>
      </w:divBdr>
    </w:div>
    <w:div w:id="1368799346">
      <w:bodyDiv w:val="1"/>
      <w:marLeft w:val="0"/>
      <w:marRight w:val="0"/>
      <w:marTop w:val="0"/>
      <w:marBottom w:val="0"/>
      <w:divBdr>
        <w:top w:val="none" w:sz="0" w:space="0" w:color="auto"/>
        <w:left w:val="none" w:sz="0" w:space="0" w:color="auto"/>
        <w:bottom w:val="none" w:sz="0" w:space="0" w:color="auto"/>
        <w:right w:val="none" w:sz="0" w:space="0" w:color="auto"/>
      </w:divBdr>
    </w:div>
    <w:div w:id="159686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9241bc2-aa07-462a-9c49-d382f2ea7c29">
      <UserInfo>
        <DisplayName>Kristina DuRocher</DisplayName>
        <AccountId>12</AccountId>
        <AccountType/>
      </UserInfo>
      <UserInfo>
        <DisplayName>Raven Malliett</DisplayName>
        <AccountId>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C8694EDDC556D48A3A2F9DAB14640A9" ma:contentTypeVersion="10" ma:contentTypeDescription="Create a new document." ma:contentTypeScope="" ma:versionID="e4c984198c7ce72de31d40bcb50b9c8f">
  <xsd:schema xmlns:xsd="http://www.w3.org/2001/XMLSchema" xmlns:xs="http://www.w3.org/2001/XMLSchema" xmlns:p="http://schemas.microsoft.com/office/2006/metadata/properties" xmlns:ns2="2b50b422-c025-439b-8df6-71285c110892" xmlns:ns3="09241bc2-aa07-462a-9c49-d382f2ea7c29" targetNamespace="http://schemas.microsoft.com/office/2006/metadata/properties" ma:root="true" ma:fieldsID="6511781ca8cc0f375338126cbf3d3db6" ns2:_="" ns3:_="">
    <xsd:import namespace="2b50b422-c025-439b-8df6-71285c110892"/>
    <xsd:import namespace="09241bc2-aa07-462a-9c49-d382f2ea7c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0b422-c025-439b-8df6-71285c110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241bc2-aa07-462a-9c49-d382f2ea7c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34E2F2-2738-487C-AADD-02F1533ED329}">
  <ds:schemaRefs>
    <ds:schemaRef ds:uri="http://schemas.microsoft.com/sharepoint/v3/contenttype/forms"/>
  </ds:schemaRefs>
</ds:datastoreItem>
</file>

<file path=customXml/itemProps2.xml><?xml version="1.0" encoding="utf-8"?>
<ds:datastoreItem xmlns:ds="http://schemas.openxmlformats.org/officeDocument/2006/customXml" ds:itemID="{218DB012-E0D7-4292-9474-A838425BC565}">
  <ds:schemaRefs>
    <ds:schemaRef ds:uri="http://schemas.microsoft.com/office/2006/metadata/properties"/>
    <ds:schemaRef ds:uri="http://schemas.microsoft.com/office/infopath/2007/PartnerControls"/>
    <ds:schemaRef ds:uri="09241bc2-aa07-462a-9c49-d382f2ea7c29"/>
  </ds:schemaRefs>
</ds:datastoreItem>
</file>

<file path=customXml/itemProps3.xml><?xml version="1.0" encoding="utf-8"?>
<ds:datastoreItem xmlns:ds="http://schemas.openxmlformats.org/officeDocument/2006/customXml" ds:itemID="{46286CB5-00CD-45D4-A8A0-8C256573B792}">
  <ds:schemaRefs>
    <ds:schemaRef ds:uri="http://schemas.openxmlformats.org/officeDocument/2006/bibliography"/>
  </ds:schemaRefs>
</ds:datastoreItem>
</file>

<file path=customXml/itemProps4.xml><?xml version="1.0" encoding="utf-8"?>
<ds:datastoreItem xmlns:ds="http://schemas.openxmlformats.org/officeDocument/2006/customXml" ds:itemID="{A017E56A-0416-442A-A3B3-B3C071B66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0b422-c025-439b-8df6-71285c110892"/>
    <ds:schemaRef ds:uri="09241bc2-aa07-462a-9c49-d382f2ea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 Knudsen</dc:creator>
  <cp:keywords/>
  <dc:description/>
  <cp:lastModifiedBy>Tracy Gaudlip</cp:lastModifiedBy>
  <cp:revision>2</cp:revision>
  <dcterms:created xsi:type="dcterms:W3CDTF">2025-09-23T15:15:00Z</dcterms:created>
  <dcterms:modified xsi:type="dcterms:W3CDTF">2025-09-23T15:15:00Z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0x0101005C8694EDDC556D48A3A2F9DAB14640A9</vt:lpwstr>
  </property>
  <property fmtid="{D5CDD505-2E9C-101B-9397-08002B2CF9AE}" pid="3" name="ComplianceAssetId">
    <vt:lpwstr/>
  </property>
  <property fmtid="{D5CDD505-2E9C-101B-9397-08002B2CF9AE}" pid="4" name="_ExtendedDescription">
    <vt:lpwstr/>
  </property>
</Properties>
</file>