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579A" w14:textId="638A3EB1" w:rsidR="009E1918" w:rsidRDefault="00261E4B" w:rsidP="00261E4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68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SGIA </w:t>
      </w:r>
      <w:r w:rsidR="009E1918" w:rsidRPr="008C68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Roadmap </w:t>
      </w:r>
    </w:p>
    <w:p w14:paraId="4993F054" w14:textId="4B77B329" w:rsidR="00BE10A8" w:rsidRDefault="00BE10A8" w:rsidP="00261E4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211445" w14:textId="5228288D" w:rsidR="00BE10A8" w:rsidRPr="00BE10A8" w:rsidRDefault="00BE10A8" w:rsidP="00261E4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BE10A8">
        <w:rPr>
          <w:rFonts w:ascii="Times New Roman" w:hAnsi="Times New Roman" w:cs="Times New Roman"/>
          <w:sz w:val="24"/>
          <w:szCs w:val="24"/>
        </w:rPr>
        <w:t>This document lays out a series of goals our faculty are committed to developing and maintaining</w:t>
      </w:r>
      <w:r w:rsidR="00B848A2">
        <w:rPr>
          <w:rFonts w:ascii="Times New Roman" w:hAnsi="Times New Roman" w:cs="Times New Roman"/>
          <w:sz w:val="24"/>
          <w:szCs w:val="24"/>
        </w:rPr>
        <w:t xml:space="preserve"> over the next 5 years</w:t>
      </w:r>
      <w:r w:rsidRPr="00BE10A8">
        <w:rPr>
          <w:rFonts w:ascii="Times New Roman" w:hAnsi="Times New Roman" w:cs="Times New Roman"/>
          <w:sz w:val="24"/>
          <w:szCs w:val="24"/>
        </w:rPr>
        <w:t>. It is an internal planning document and is not intended to convey benchmarks for individual faculty evaluation.  </w:t>
      </w:r>
    </w:p>
    <w:p w14:paraId="1F237FCC" w14:textId="4FA95A41" w:rsidR="009E1918" w:rsidRDefault="009E1918" w:rsidP="009E191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2EF84C87" w14:textId="77777777" w:rsidR="009E1918" w:rsidRPr="00354030" w:rsidRDefault="009E1918" w:rsidP="009E191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2FEA6836" w14:textId="77777777" w:rsidR="009E1918" w:rsidRPr="009E1918" w:rsidRDefault="009E1918" w:rsidP="009E191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918">
        <w:rPr>
          <w:rFonts w:ascii="Times New Roman" w:hAnsi="Times New Roman" w:cs="Times New Roman"/>
          <w:b/>
          <w:bCs/>
          <w:sz w:val="28"/>
          <w:szCs w:val="28"/>
        </w:rPr>
        <w:t xml:space="preserve">Undergraduate Education Goals </w:t>
      </w:r>
    </w:p>
    <w:p w14:paraId="4EACB4CF" w14:textId="77777777" w:rsidR="009E1918" w:rsidRDefault="009E1918" w:rsidP="009E191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2A15731" w14:textId="77777777" w:rsidR="009E1918" w:rsidRPr="00354030" w:rsidRDefault="009E1918" w:rsidP="009E1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030">
        <w:rPr>
          <w:rFonts w:ascii="Times New Roman" w:hAnsi="Times New Roman" w:cs="Times New Roman"/>
          <w:sz w:val="24"/>
          <w:szCs w:val="24"/>
        </w:rPr>
        <w:t xml:space="preserve">Emphasize undergraduate research by </w:t>
      </w:r>
    </w:p>
    <w:p w14:paraId="129AE585" w14:textId="77777777" w:rsidR="009E1918" w:rsidRPr="00354030" w:rsidRDefault="009E1918" w:rsidP="009E19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426086E9">
        <w:rPr>
          <w:rFonts w:ascii="Times New Roman" w:hAnsi="Times New Roman" w:cs="Times New Roman"/>
          <w:sz w:val="24"/>
          <w:szCs w:val="24"/>
        </w:rPr>
        <w:t>developing and offering more opportunities for Direct Applied Research and Directed Study</w:t>
      </w:r>
    </w:p>
    <w:p w14:paraId="5B63D650" w14:textId="77777777" w:rsidR="009E1918" w:rsidRPr="00354030" w:rsidRDefault="009E1918" w:rsidP="009E19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030">
        <w:rPr>
          <w:rFonts w:ascii="Times New Roman" w:hAnsi="Times New Roman" w:cs="Times New Roman"/>
          <w:sz w:val="24"/>
          <w:szCs w:val="24"/>
        </w:rPr>
        <w:t>promoting and facilitating faculty-student collaboration on research projects</w:t>
      </w:r>
    </w:p>
    <w:p w14:paraId="2021A158" w14:textId="77777777" w:rsidR="009E1918" w:rsidRPr="00354030" w:rsidRDefault="009E1918" w:rsidP="009E19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030">
        <w:rPr>
          <w:rFonts w:ascii="Times New Roman" w:hAnsi="Times New Roman" w:cs="Times New Roman"/>
          <w:sz w:val="24"/>
          <w:szCs w:val="24"/>
        </w:rPr>
        <w:t xml:space="preserve">further incentivizing faculty to mentor students on research projects </w:t>
      </w:r>
    </w:p>
    <w:p w14:paraId="45375E1F" w14:textId="77777777" w:rsidR="009E1918" w:rsidRPr="00354030" w:rsidRDefault="009E1918" w:rsidP="009E19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030">
        <w:rPr>
          <w:rFonts w:ascii="Times New Roman" w:hAnsi="Times New Roman" w:cs="Times New Roman"/>
          <w:sz w:val="24"/>
          <w:szCs w:val="24"/>
        </w:rPr>
        <w:t>encouraging students present their research at the Symposium of Student Scholars</w:t>
      </w:r>
    </w:p>
    <w:p w14:paraId="7822AB18" w14:textId="77777777" w:rsidR="009E1918" w:rsidRPr="00354030" w:rsidRDefault="009E1918" w:rsidP="009E191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50A9DC5" w14:textId="01830038" w:rsidR="009E1918" w:rsidRDefault="009E1918" w:rsidP="009E1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030">
        <w:rPr>
          <w:rFonts w:ascii="Times New Roman" w:hAnsi="Times New Roman" w:cs="Times New Roman"/>
          <w:sz w:val="24"/>
          <w:szCs w:val="24"/>
        </w:rPr>
        <w:t xml:space="preserve">Strengthen the </w:t>
      </w:r>
      <w:r w:rsidRPr="00BE10A8">
        <w:rPr>
          <w:rFonts w:ascii="Times New Roman" w:hAnsi="Times New Roman" w:cs="Times New Roman"/>
          <w:b/>
          <w:bCs/>
          <w:sz w:val="24"/>
          <w:szCs w:val="24"/>
        </w:rPr>
        <w:t>internship</w:t>
      </w:r>
      <w:r w:rsidRPr="00354030">
        <w:rPr>
          <w:rFonts w:ascii="Times New Roman" w:hAnsi="Times New Roman" w:cs="Times New Roman"/>
          <w:sz w:val="24"/>
          <w:szCs w:val="24"/>
        </w:rPr>
        <w:t xml:space="preserve"> program by enhancing student awareness and increasing experiential education opportunities</w:t>
      </w:r>
    </w:p>
    <w:p w14:paraId="19AC1679" w14:textId="77777777" w:rsidR="002409CE" w:rsidRDefault="002409CE" w:rsidP="002409C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87C3ED2" w14:textId="501D3082" w:rsidR="002409CE" w:rsidRDefault="002409CE" w:rsidP="009E1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courses which incorporate high-impact practices, </w:t>
      </w:r>
      <w:r w:rsidRPr="007A69F0">
        <w:rPr>
          <w:rFonts w:ascii="Times New Roman" w:hAnsi="Times New Roman" w:cs="Times New Roman"/>
          <w:b/>
          <w:bCs/>
          <w:sz w:val="24"/>
          <w:szCs w:val="24"/>
        </w:rPr>
        <w:t>HIPS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39513" w14:textId="2A829DC0" w:rsidR="009E1918" w:rsidRDefault="007A69F0" w:rsidP="007A69F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Learning: </w:t>
      </w:r>
      <w:r w:rsidR="00BE10A8" w:rsidRPr="007A69F0">
        <w:rPr>
          <w:rFonts w:ascii="Times New Roman" w:hAnsi="Times New Roman" w:cs="Times New Roman"/>
          <w:sz w:val="24"/>
          <w:szCs w:val="24"/>
        </w:rPr>
        <w:t xml:space="preserve">Varies by course section, not mandatory. </w:t>
      </w:r>
      <w:r w:rsidR="00021AF1" w:rsidRPr="007A69F0">
        <w:rPr>
          <w:rFonts w:ascii="Times New Roman" w:hAnsi="Times New Roman" w:cs="Times New Roman"/>
          <w:sz w:val="24"/>
          <w:szCs w:val="24"/>
        </w:rPr>
        <w:t xml:space="preserve"> </w:t>
      </w:r>
      <w:r w:rsidR="00BE10A8" w:rsidRPr="007A69F0">
        <w:rPr>
          <w:rFonts w:ascii="Times New Roman" w:hAnsi="Times New Roman" w:cs="Times New Roman"/>
          <w:sz w:val="24"/>
          <w:szCs w:val="24"/>
        </w:rPr>
        <w:t>Individual faculty member designs course goals and approves student field experience. Example: Campaigns &amp; Elections.</w:t>
      </w:r>
    </w:p>
    <w:p w14:paraId="7EE76EFE" w14:textId="05FAD956" w:rsidR="009E1918" w:rsidRPr="007A69F0" w:rsidRDefault="007A69F0" w:rsidP="007A69F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10A8" w:rsidRPr="007A69F0">
        <w:rPr>
          <w:rFonts w:ascii="Times New Roman" w:hAnsi="Times New Roman" w:cs="Times New Roman"/>
          <w:sz w:val="24"/>
          <w:szCs w:val="24"/>
        </w:rPr>
        <w:t>ndergraduate research</w:t>
      </w:r>
      <w:r w:rsidR="002409CE" w:rsidRPr="007A69F0">
        <w:rPr>
          <w:rFonts w:ascii="Times New Roman" w:hAnsi="Times New Roman" w:cs="Times New Roman"/>
          <w:sz w:val="24"/>
          <w:szCs w:val="24"/>
        </w:rPr>
        <w:t>. Example: Senior Seminar.</w:t>
      </w:r>
    </w:p>
    <w:p w14:paraId="0F9A02E2" w14:textId="77777777" w:rsidR="009E1918" w:rsidRPr="00354030" w:rsidRDefault="009E1918" w:rsidP="009E19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6D4E47" w14:textId="77777777" w:rsidR="009E1918" w:rsidRPr="00354030" w:rsidRDefault="009E1918" w:rsidP="009E1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030">
        <w:rPr>
          <w:rFonts w:ascii="Times New Roman" w:hAnsi="Times New Roman" w:cs="Times New Roman"/>
          <w:sz w:val="24"/>
          <w:szCs w:val="24"/>
        </w:rPr>
        <w:t>Increase the use of Undergraduate Teaching Assistants (UTAs) and Supplemental Instructors (SIs)</w:t>
      </w:r>
    </w:p>
    <w:p w14:paraId="5660B9C8" w14:textId="77777777" w:rsidR="009E1918" w:rsidRPr="00354030" w:rsidRDefault="009E1918" w:rsidP="009E19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C40C24" w14:textId="56357C11" w:rsidR="009E1918" w:rsidRDefault="009E1918" w:rsidP="009E19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6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Increase the number of POLS/IA </w:t>
      </w:r>
      <w:r w:rsidR="00240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undergraduate majors</w:t>
      </w:r>
      <w:r w:rsidRPr="008B6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through active efforts directed at recruitment and retention</w:t>
      </w:r>
      <w:r>
        <w:br/>
      </w:r>
    </w:p>
    <w:p w14:paraId="17129CCB" w14:textId="53779115" w:rsidR="009E1918" w:rsidRDefault="009E1918" w:rsidP="009E19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8B65EF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Acculturate students into the curriculum </w:t>
      </w: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by </w:t>
      </w:r>
      <w:r w:rsidRPr="008B65EF">
        <w:rPr>
          <w:rFonts w:ascii="Times New Roman" w:eastAsia="Times New Roman" w:hAnsi="Times New Roman" w:cs="Times New Roman"/>
          <w:color w:val="201F1E"/>
          <w:sz w:val="24"/>
          <w:szCs w:val="24"/>
        </w:rPr>
        <w:t>highlighting the connections between the discipline and degree to the students’ academic and professional goals.</w:t>
      </w:r>
      <w:r w:rsidR="002409CE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Each POLS course, including POLS 1101, can emphasize academic, professional, and career connections.  </w:t>
      </w:r>
    </w:p>
    <w:p w14:paraId="1AC043BB" w14:textId="1827E857" w:rsidR="009E1918" w:rsidRDefault="009E1918" w:rsidP="009E1918"/>
    <w:p w14:paraId="4E0907B4" w14:textId="4B7963C6" w:rsidR="009E1918" w:rsidRDefault="009E1918" w:rsidP="009E1918"/>
    <w:p w14:paraId="0AF5858A" w14:textId="0810B41C" w:rsidR="009E1918" w:rsidRDefault="009E1918" w:rsidP="009E1918"/>
    <w:p w14:paraId="03DA59C3" w14:textId="6AB23B2B" w:rsidR="009E1918" w:rsidRDefault="009E1918" w:rsidP="009E1918"/>
    <w:p w14:paraId="5294DCB4" w14:textId="33E3B770" w:rsidR="009E1918" w:rsidRDefault="009E1918" w:rsidP="009E1918"/>
    <w:p w14:paraId="4201198E" w14:textId="3F3E3C92" w:rsidR="009E1918" w:rsidRDefault="009E1918" w:rsidP="009E1918"/>
    <w:p w14:paraId="51A67AAA" w14:textId="7ABCAC7D" w:rsidR="009E1918" w:rsidRDefault="009E1918" w:rsidP="009E1918"/>
    <w:p w14:paraId="3332245B" w14:textId="25A99518" w:rsidR="009E1918" w:rsidRDefault="009E1918" w:rsidP="009E1918"/>
    <w:p w14:paraId="75C991FB" w14:textId="50F24956" w:rsidR="009E1918" w:rsidRDefault="009E1918" w:rsidP="009E1918"/>
    <w:p w14:paraId="79F44B85" w14:textId="77777777" w:rsidR="009E1918" w:rsidRDefault="009E1918" w:rsidP="009E1918"/>
    <w:p w14:paraId="5CF31E58" w14:textId="77777777" w:rsidR="009E1918" w:rsidRPr="009E1918" w:rsidRDefault="009E1918" w:rsidP="009E1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918">
        <w:rPr>
          <w:rFonts w:ascii="Times New Roman" w:hAnsi="Times New Roman" w:cs="Times New Roman"/>
          <w:b/>
          <w:bCs/>
          <w:sz w:val="28"/>
          <w:szCs w:val="28"/>
        </w:rPr>
        <w:t>Graduate Programs</w:t>
      </w:r>
    </w:p>
    <w:p w14:paraId="2E49E3FB" w14:textId="77777777" w:rsidR="009E1918" w:rsidRPr="009E1918" w:rsidRDefault="009E1918" w:rsidP="009E1918">
      <w:pPr>
        <w:rPr>
          <w:rFonts w:ascii="Times New Roman" w:hAnsi="Times New Roman" w:cs="Times New Roman"/>
        </w:rPr>
      </w:pPr>
    </w:p>
    <w:p w14:paraId="77E3B6F4" w14:textId="69A94260" w:rsidR="008C687E" w:rsidRDefault="009E1918" w:rsidP="009E19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C687E">
        <w:rPr>
          <w:rFonts w:ascii="Times New Roman" w:hAnsi="Times New Roman" w:cs="Times New Roman"/>
        </w:rPr>
        <w:t xml:space="preserve">Establish an annual advertising and marketing budget for the MPA and MSIPM programs to increase the number of applications. </w:t>
      </w:r>
    </w:p>
    <w:p w14:paraId="1D644FD1" w14:textId="77777777" w:rsidR="008C687E" w:rsidRDefault="008C687E" w:rsidP="008C687E">
      <w:pPr>
        <w:pStyle w:val="ListParagraph"/>
        <w:rPr>
          <w:rFonts w:ascii="Times New Roman" w:hAnsi="Times New Roman" w:cs="Times New Roman"/>
        </w:rPr>
      </w:pPr>
    </w:p>
    <w:p w14:paraId="3688B834" w14:textId="2C56D0D4" w:rsidR="008C687E" w:rsidRDefault="009E1918" w:rsidP="009E19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C687E">
        <w:rPr>
          <w:rFonts w:ascii="Times New Roman" w:hAnsi="Times New Roman" w:cs="Times New Roman"/>
        </w:rPr>
        <w:t>Emphasize high impact practices in courses for the MPA and MSIPM programs, including service learning and student research for conference presentation or publication.</w:t>
      </w:r>
    </w:p>
    <w:p w14:paraId="3193391A" w14:textId="77777777" w:rsidR="008C687E" w:rsidRPr="008C687E" w:rsidRDefault="008C687E" w:rsidP="008C687E">
      <w:pPr>
        <w:pStyle w:val="ListParagraph"/>
        <w:rPr>
          <w:rFonts w:ascii="Times New Roman" w:hAnsi="Times New Roman" w:cs="Times New Roman"/>
        </w:rPr>
      </w:pPr>
    </w:p>
    <w:p w14:paraId="19962EEF" w14:textId="77777777" w:rsidR="008C687E" w:rsidRDefault="008C687E" w:rsidP="008C687E">
      <w:pPr>
        <w:pStyle w:val="ListParagraph"/>
        <w:rPr>
          <w:rFonts w:ascii="Times New Roman" w:hAnsi="Times New Roman" w:cs="Times New Roman"/>
        </w:rPr>
      </w:pPr>
    </w:p>
    <w:p w14:paraId="3205BC96" w14:textId="1A939780" w:rsidR="008C687E" w:rsidRDefault="009E1918" w:rsidP="009E19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C687E">
        <w:rPr>
          <w:rFonts w:ascii="Times New Roman" w:hAnsi="Times New Roman" w:cs="Times New Roman"/>
        </w:rPr>
        <w:t>Secure funding for one GRA position for every 10 students enrolled in each graduate program.</w:t>
      </w:r>
    </w:p>
    <w:p w14:paraId="2B27C179" w14:textId="77777777" w:rsidR="008C687E" w:rsidRDefault="008C687E" w:rsidP="008C687E">
      <w:pPr>
        <w:pStyle w:val="ListParagraph"/>
        <w:rPr>
          <w:rFonts w:ascii="Times New Roman" w:hAnsi="Times New Roman" w:cs="Times New Roman"/>
        </w:rPr>
      </w:pPr>
    </w:p>
    <w:p w14:paraId="0A152E98" w14:textId="2F360CBC" w:rsidR="008C687E" w:rsidRPr="008C687E" w:rsidRDefault="009E1918" w:rsidP="009E19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C687E">
        <w:rPr>
          <w:rFonts w:ascii="Times New Roman" w:hAnsi="Times New Roman" w:cs="Times New Roman"/>
        </w:rPr>
        <w:t xml:space="preserve">Create a new, interdisciplinary online </w:t>
      </w:r>
      <w:r w:rsidRPr="008C687E">
        <w:rPr>
          <w:rFonts w:ascii="Times New Roman" w:eastAsia="Times New Roman" w:hAnsi="Times New Roman" w:cs="Times New Roman"/>
          <w:color w:val="000000"/>
        </w:rPr>
        <w:t>MS in Homeland Security and Crisis Management.</w:t>
      </w:r>
    </w:p>
    <w:p w14:paraId="798808A5" w14:textId="77777777" w:rsidR="008C687E" w:rsidRPr="008C687E" w:rsidRDefault="008C687E" w:rsidP="008C687E">
      <w:pPr>
        <w:pStyle w:val="ListParagraph"/>
        <w:rPr>
          <w:rFonts w:ascii="Times New Roman" w:hAnsi="Times New Roman" w:cs="Times New Roman"/>
        </w:rPr>
      </w:pPr>
    </w:p>
    <w:p w14:paraId="4793509A" w14:textId="77777777" w:rsidR="008C687E" w:rsidRPr="008C687E" w:rsidRDefault="008C687E" w:rsidP="008C687E">
      <w:pPr>
        <w:pStyle w:val="ListParagraph"/>
        <w:rPr>
          <w:rFonts w:ascii="Times New Roman" w:hAnsi="Times New Roman" w:cs="Times New Roman"/>
        </w:rPr>
      </w:pPr>
    </w:p>
    <w:p w14:paraId="1585FADE" w14:textId="713E9CE0" w:rsidR="00A53350" w:rsidRPr="008C687E" w:rsidRDefault="00A53350" w:rsidP="009E19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C687E">
        <w:rPr>
          <w:rFonts w:ascii="Times New Roman" w:eastAsia="Times New Roman" w:hAnsi="Times New Roman" w:cs="Times New Roman"/>
          <w:color w:val="000000"/>
        </w:rPr>
        <w:t>Seek funding to support graduate student presentations at academic conferences.</w:t>
      </w:r>
    </w:p>
    <w:p w14:paraId="37CF2B20" w14:textId="77777777" w:rsidR="009E1918" w:rsidRPr="009E1918" w:rsidRDefault="009E1918" w:rsidP="009E1918">
      <w:pPr>
        <w:rPr>
          <w:rFonts w:ascii="Times New Roman" w:eastAsia="Times New Roman" w:hAnsi="Times New Roman" w:cs="Times New Roman"/>
        </w:rPr>
      </w:pPr>
    </w:p>
    <w:p w14:paraId="489F08F8" w14:textId="77777777" w:rsidR="009E1918" w:rsidRPr="009E1918" w:rsidRDefault="009E1918" w:rsidP="009E1918">
      <w:pPr>
        <w:rPr>
          <w:rFonts w:ascii="Times New Roman" w:hAnsi="Times New Roman" w:cs="Times New Roman"/>
        </w:rPr>
      </w:pPr>
    </w:p>
    <w:p w14:paraId="317B28C7" w14:textId="49F8B0B1" w:rsidR="00DE3274" w:rsidRPr="009E1918" w:rsidRDefault="00DE3274">
      <w:pPr>
        <w:rPr>
          <w:rFonts w:ascii="Times New Roman" w:hAnsi="Times New Roman" w:cs="Times New Roman"/>
        </w:rPr>
      </w:pPr>
    </w:p>
    <w:p w14:paraId="649F474C" w14:textId="4D7F1603" w:rsidR="009E1918" w:rsidRPr="009E1918" w:rsidRDefault="009E1918">
      <w:pPr>
        <w:rPr>
          <w:rFonts w:ascii="Times New Roman" w:hAnsi="Times New Roman" w:cs="Times New Roman"/>
        </w:rPr>
      </w:pPr>
    </w:p>
    <w:p w14:paraId="759EBDFA" w14:textId="77777777" w:rsidR="009E1918" w:rsidRDefault="009E1918" w:rsidP="009E1918">
      <w:pPr>
        <w:keepNext/>
        <w:keepLines/>
        <w:spacing w:before="240" w:after="0" w:line="240" w:lineRule="auto"/>
        <w:outlineLvl w:val="0"/>
        <w:rPr>
          <w:rFonts w:ascii="Times New Roman" w:eastAsiaTheme="majorEastAsia" w:hAnsi="Times New Roman" w:cs="Times New Roman (Headings CS)"/>
          <w:b/>
          <w:bCs/>
          <w:color w:val="000000" w:themeColor="text1"/>
          <w:kern w:val="16"/>
          <w:sz w:val="28"/>
          <w:szCs w:val="28"/>
          <w14:ligatures w14:val="standardContextual"/>
          <w14:numForm w14:val="oldStyle"/>
        </w:rPr>
      </w:pPr>
    </w:p>
    <w:p w14:paraId="4108BF73" w14:textId="1E119D68" w:rsidR="009E1918" w:rsidRPr="009E1918" w:rsidRDefault="009E1918" w:rsidP="009E1918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 (Headings CS)"/>
          <w:b/>
          <w:bCs/>
          <w:color w:val="000000" w:themeColor="text1"/>
          <w:kern w:val="16"/>
          <w:sz w:val="28"/>
          <w:szCs w:val="28"/>
          <w14:ligatures w14:val="standardContextual"/>
          <w14:numForm w14:val="oldStyle"/>
        </w:rPr>
      </w:pPr>
      <w:r w:rsidRPr="009E1918">
        <w:rPr>
          <w:rFonts w:ascii="Times New Roman" w:eastAsiaTheme="majorEastAsia" w:hAnsi="Times New Roman" w:cs="Times New Roman (Headings CS)"/>
          <w:b/>
          <w:bCs/>
          <w:color w:val="000000" w:themeColor="text1"/>
          <w:kern w:val="16"/>
          <w:sz w:val="28"/>
          <w:szCs w:val="28"/>
          <w14:ligatures w14:val="standardContextual"/>
          <w14:numForm w14:val="oldStyle"/>
        </w:rPr>
        <w:t>Engagement (Community and Culture)</w:t>
      </w:r>
    </w:p>
    <w:p w14:paraId="07A56969" w14:textId="77777777" w:rsidR="009E1918" w:rsidRPr="009E1918" w:rsidRDefault="009E1918" w:rsidP="009E1918">
      <w:pPr>
        <w:spacing w:after="0" w:line="240" w:lineRule="auto"/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</w:p>
    <w:p w14:paraId="6FC99152" w14:textId="77777777" w:rsidR="009E1918" w:rsidRPr="009E1918" w:rsidRDefault="009E1918" w:rsidP="009E1918">
      <w:pPr>
        <w:spacing w:after="0" w:line="240" w:lineRule="auto"/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Context:</w:t>
      </w:r>
    </w:p>
    <w:p w14:paraId="22D8EF20" w14:textId="77777777" w:rsidR="009E1918" w:rsidRPr="009E1918" w:rsidRDefault="009E1918" w:rsidP="009E1918">
      <w:pPr>
        <w:spacing w:after="0" w:line="240" w:lineRule="auto"/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 xml:space="preserve">SGIA’s commitment to engagement aligns with the University's R2 Roadmap Pillar of Community and Culture which elevates the institution’s focus on partnerships and connections. As a university, the focus on partnerships and connections is evidenced in the following goals: </w:t>
      </w:r>
      <w:r w:rsidRPr="009E1918">
        <w:rPr>
          <w:rFonts w:ascii="Times New Roman" w:eastAsia="Times New Roman" w:hAnsi="Times New Roman" w:cs="Times New Roman"/>
          <w:kern w:val="16"/>
          <w:sz w:val="24"/>
          <w:szCs w:val="24"/>
          <w14:ligatures w14:val="standardContextual"/>
          <w14:numForm w14:val="oldStyle"/>
        </w:rPr>
        <w:t> </w:t>
      </w:r>
    </w:p>
    <w:p w14:paraId="775A6DAC" w14:textId="77777777" w:rsidR="009E1918" w:rsidRPr="009E1918" w:rsidRDefault="009E1918" w:rsidP="009E1918">
      <w:pPr>
        <w:numPr>
          <w:ilvl w:val="0"/>
          <w:numId w:val="2"/>
        </w:numPr>
        <w:spacing w:after="0" w:line="240" w:lineRule="auto"/>
        <w:contextualSpacing/>
        <w:rPr>
          <w:rFonts w:eastAsiaTheme="minorEastAsia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Times New Roman" w:hAnsi="Times New Roman" w:cs="Times New Roman"/>
          <w:kern w:val="16"/>
          <w:sz w:val="24"/>
          <w:szCs w:val="24"/>
          <w14:ligatures w14:val="standardContextual"/>
          <w14:numForm w14:val="oldStyle"/>
        </w:rPr>
        <w:t>Nurture a welcoming campus climate, a sense of belonging, and a broad marketplace of ideas.</w:t>
      </w:r>
    </w:p>
    <w:p w14:paraId="632E5186" w14:textId="77777777" w:rsidR="009E1918" w:rsidRPr="009E1918" w:rsidRDefault="009E1918" w:rsidP="009E191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Times New Roman" w:hAnsi="Times New Roman" w:cs="Times New Roman"/>
          <w:kern w:val="16"/>
          <w:sz w:val="24"/>
          <w:szCs w:val="24"/>
          <w14:ligatures w14:val="standardContextual"/>
          <w14:numForm w14:val="oldStyle"/>
        </w:rPr>
        <w:t>Strengthen KSU engagement with external organizations to include corporations, boards, governments, and community partners.</w:t>
      </w:r>
    </w:p>
    <w:p w14:paraId="02FA6D35" w14:textId="77777777" w:rsidR="009E1918" w:rsidRPr="009E1918" w:rsidRDefault="009E1918" w:rsidP="009E191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Times New Roman" w:hAnsi="Times New Roman" w:cs="Times New Roman"/>
          <w:kern w:val="16"/>
          <w:sz w:val="24"/>
          <w:szCs w:val="24"/>
          <w14:ligatures w14:val="standardContextual"/>
          <w14:numForm w14:val="oldStyle"/>
        </w:rPr>
        <w:t>Advance athletic, artistic, and educational programming to engage the community with campus events and activities.</w:t>
      </w:r>
    </w:p>
    <w:p w14:paraId="5C3C3077" w14:textId="77777777" w:rsidR="009E1918" w:rsidRPr="009E1918" w:rsidRDefault="009E1918" w:rsidP="009E191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Times New Roman" w:hAnsi="Times New Roman" w:cs="Times New Roman"/>
          <w:kern w:val="16"/>
          <w:sz w:val="24"/>
          <w:szCs w:val="24"/>
          <w14:ligatures w14:val="standardContextual"/>
          <w14:numForm w14:val="oldStyle"/>
        </w:rPr>
        <w:t>Foster mutually beneficial collaborations to increase annual growth in KSU’s economic impact on the region.</w:t>
      </w:r>
    </w:p>
    <w:p w14:paraId="0C1C3780" w14:textId="77777777" w:rsidR="009E1918" w:rsidRPr="009E1918" w:rsidRDefault="009E1918" w:rsidP="009E1918">
      <w:pPr>
        <w:spacing w:after="0" w:line="240" w:lineRule="auto"/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</w:p>
    <w:p w14:paraId="3189F40E" w14:textId="77777777" w:rsidR="009E1918" w:rsidRPr="009E1918" w:rsidRDefault="009E1918" w:rsidP="009E1918">
      <w:pPr>
        <w:spacing w:after="0" w:line="240" w:lineRule="auto"/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SGIA contributes to this institutional priority via the following goals and initiatives:</w:t>
      </w:r>
    </w:p>
    <w:p w14:paraId="14648CAA" w14:textId="77777777" w:rsidR="009E1918" w:rsidRPr="009E1918" w:rsidRDefault="009E1918" w:rsidP="009E1918">
      <w:pPr>
        <w:spacing w:after="0" w:line="240" w:lineRule="auto"/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</w:p>
    <w:p w14:paraId="7075057C" w14:textId="77777777" w:rsidR="009E1918" w:rsidRPr="009E1918" w:rsidRDefault="009E1918" w:rsidP="009E191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 xml:space="preserve">Strengthen SGIA connections with community partners for high impact graduate and undergraduate learning experiences, including service-learning, </w:t>
      </w:r>
      <w:proofErr w:type="gramStart"/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internships</w:t>
      </w:r>
      <w:proofErr w:type="gramEnd"/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 xml:space="preserve"> and co-curricular activities</w:t>
      </w:r>
    </w:p>
    <w:p w14:paraId="54605AEF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Increase engagement with community and alumni advisory boards</w:t>
      </w:r>
    </w:p>
    <w:p w14:paraId="0F8D6A74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 xml:space="preserve">Increase QEP designated course-based service-learning offerings </w:t>
      </w:r>
    </w:p>
    <w:p w14:paraId="3F399FA2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Provide credit-bearing and co-curricular experiential learning opportunities to connect students with community partners (</w:t>
      </w:r>
      <w:proofErr w:type="gramStart"/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e.g.</w:t>
      </w:r>
      <w:proofErr w:type="gramEnd"/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 xml:space="preserve"> service and partner-oriented project-based learning)</w:t>
      </w:r>
    </w:p>
    <w:p w14:paraId="20ADEC3C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Feature SGIA student interns (undergraduate and graduate) and their hosts/sponsors in school communications and social media</w:t>
      </w:r>
    </w:p>
    <w:p w14:paraId="4B4C803B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Explore options for utilizing off-campus, community-based facilities for classes, workshops, presentations, etc.</w:t>
      </w:r>
    </w:p>
    <w:p w14:paraId="50E02762" w14:textId="77777777" w:rsidR="009E1918" w:rsidRPr="009E1918" w:rsidRDefault="009E1918" w:rsidP="009E191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Expand SGIA faculty and student participation in undergraduate research</w:t>
      </w:r>
    </w:p>
    <w:p w14:paraId="4253AD2C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Identify and allocate resources to support faculty-led undergraduate research (</w:t>
      </w:r>
      <w:proofErr w:type="gramStart"/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e.g.</w:t>
      </w:r>
      <w:proofErr w:type="gramEnd"/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 xml:space="preserve"> course redevelopment funding; reassigned time, etc.)</w:t>
      </w:r>
    </w:p>
    <w:p w14:paraId="1F275145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eastAsiaTheme="minorEastAsia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Develop clearinghouse for student research opportunities with SGIA faculty</w:t>
      </w:r>
    </w:p>
    <w:p w14:paraId="42658734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Increase SGIA participation in KSU’s undergraduate research symposium</w:t>
      </w:r>
    </w:p>
    <w:p w14:paraId="4C00A623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Incentivize and reward faculty publications and presentations with students</w:t>
      </w:r>
    </w:p>
    <w:p w14:paraId="4FF27B29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eastAsia="Calibri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Recognize SGIA student research with a scholarship designated for research activity</w:t>
      </w:r>
    </w:p>
    <w:p w14:paraId="246BA3B2" w14:textId="77777777" w:rsidR="009E1918" w:rsidRPr="009E1918" w:rsidRDefault="009E1918" w:rsidP="009E1918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Promote SGIA faculty research through workshops and presentations to the wider community</w:t>
      </w:r>
    </w:p>
    <w:p w14:paraId="5073A84C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eastAsiaTheme="minorEastAsia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Host public-facing lecture series featuring SGIA faculty</w:t>
      </w:r>
    </w:p>
    <w:p w14:paraId="000C5423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eastAsiaTheme="minorEastAsia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 xml:space="preserve">Expand SGIA’s role in bringing speakers to campus (e.g., RCHSS Diversity Speakers Series with Dr. </w:t>
      </w:r>
      <w:proofErr w:type="spellStart"/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Lakeyta</w:t>
      </w:r>
      <w:proofErr w:type="spellEnd"/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 xml:space="preserve"> Bonnette-Bailey in fall 2020)</w:t>
      </w:r>
    </w:p>
    <w:p w14:paraId="74048519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eastAsiaTheme="minorEastAsia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Promote and highlight SGIA faculty speaking engagements on and off campus.</w:t>
      </w:r>
    </w:p>
    <w:p w14:paraId="6C730DBC" w14:textId="77777777" w:rsidR="009E1918" w:rsidRPr="009E1918" w:rsidRDefault="009E1918" w:rsidP="009E1918">
      <w:pPr>
        <w:numPr>
          <w:ilvl w:val="1"/>
          <w:numId w:val="3"/>
        </w:numPr>
        <w:spacing w:after="0" w:line="240" w:lineRule="auto"/>
        <w:contextualSpacing/>
        <w:rPr>
          <w:rFonts w:eastAsiaTheme="minorEastAsia"/>
          <w:kern w:val="16"/>
          <w:sz w:val="24"/>
          <w:szCs w:val="24"/>
          <w14:ligatures w14:val="standardContextual"/>
          <w14:numForm w14:val="oldStyle"/>
        </w:rPr>
      </w:pPr>
      <w:r w:rsidRPr="009E1918">
        <w:rPr>
          <w:rFonts w:ascii="Times New Roman" w:hAnsi="Times New Roman" w:cs="Times New Roman (Body CS)"/>
          <w:kern w:val="16"/>
          <w:sz w:val="24"/>
          <w:szCs w:val="24"/>
          <w14:ligatures w14:val="standardContextual"/>
          <w14:numForm w14:val="oldStyle"/>
        </w:rPr>
        <w:t>Cultivate opportunities for community organizations in the metro Atlanta area to engage with SGIA faculty via sponsored projects</w:t>
      </w:r>
    </w:p>
    <w:p w14:paraId="1F7C3E0B" w14:textId="77777777" w:rsidR="009E1918" w:rsidRDefault="009E1918"/>
    <w:sectPr w:rsidR="009E1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63F"/>
    <w:multiLevelType w:val="hybridMultilevel"/>
    <w:tmpl w:val="59048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7F9D"/>
    <w:multiLevelType w:val="hybridMultilevel"/>
    <w:tmpl w:val="0D3E5EFA"/>
    <w:lvl w:ilvl="0" w:tplc="292A7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68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CE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03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F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02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AD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A9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C8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875"/>
    <w:multiLevelType w:val="hybridMultilevel"/>
    <w:tmpl w:val="2E4C60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A7AE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5690E08"/>
    <w:multiLevelType w:val="hybridMultilevel"/>
    <w:tmpl w:val="0F18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2398">
    <w:abstractNumId w:val="2"/>
  </w:num>
  <w:num w:numId="2" w16cid:durableId="578175000">
    <w:abstractNumId w:val="1"/>
  </w:num>
  <w:num w:numId="3" w16cid:durableId="696078860">
    <w:abstractNumId w:val="0"/>
  </w:num>
  <w:num w:numId="4" w16cid:durableId="1261373275">
    <w:abstractNumId w:val="4"/>
  </w:num>
  <w:num w:numId="5" w16cid:durableId="1348560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18"/>
    <w:rsid w:val="00021AF1"/>
    <w:rsid w:val="002409CE"/>
    <w:rsid w:val="00261E4B"/>
    <w:rsid w:val="004323E1"/>
    <w:rsid w:val="0068264F"/>
    <w:rsid w:val="00712A0C"/>
    <w:rsid w:val="007A69F0"/>
    <w:rsid w:val="008C687E"/>
    <w:rsid w:val="009E1918"/>
    <w:rsid w:val="00A53350"/>
    <w:rsid w:val="00B848A2"/>
    <w:rsid w:val="00BE10A8"/>
    <w:rsid w:val="00D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2D38"/>
  <w15:chartTrackingRefBased/>
  <w15:docId w15:val="{A3B6966A-170B-4991-945F-A11DD64B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 Swint</dc:creator>
  <cp:keywords/>
  <dc:description/>
  <cp:lastModifiedBy>Clara Ginn</cp:lastModifiedBy>
  <cp:revision>2</cp:revision>
  <dcterms:created xsi:type="dcterms:W3CDTF">2022-08-23T18:16:00Z</dcterms:created>
  <dcterms:modified xsi:type="dcterms:W3CDTF">2022-08-23T18:16:00Z</dcterms:modified>
</cp:coreProperties>
</file>