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00AD" w14:textId="24401F68" w:rsidR="006C6BA9" w:rsidRPr="006837D5" w:rsidRDefault="4A97D6DE" w:rsidP="5FE296D7">
      <w:pPr>
        <w:pStyle w:val="Title"/>
        <w:rPr>
          <w:sz w:val="40"/>
          <w:szCs w:val="40"/>
        </w:rPr>
      </w:pPr>
      <w:r w:rsidRPr="5FE296D7">
        <w:rPr>
          <w:sz w:val="40"/>
          <w:szCs w:val="40"/>
        </w:rPr>
        <w:t xml:space="preserve">Accessibility </w:t>
      </w:r>
      <w:r w:rsidR="2BE338E1" w:rsidRPr="5FE296D7">
        <w:rPr>
          <w:sz w:val="40"/>
          <w:szCs w:val="40"/>
        </w:rPr>
        <w:t xml:space="preserve">as </w:t>
      </w:r>
      <w:r w:rsidRPr="5FE296D7">
        <w:rPr>
          <w:sz w:val="40"/>
          <w:szCs w:val="40"/>
        </w:rPr>
        <w:t>a Habit: Quick Checklist</w:t>
      </w:r>
    </w:p>
    <w:p w14:paraId="7DD3CBE2" w14:textId="4B01A8BB" w:rsidR="00E82AE1" w:rsidRPr="00AB3CE4" w:rsidRDefault="00D914CA" w:rsidP="5FE296D7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1EB4ABD" wp14:editId="7F72968D">
            <wp:simplePos x="0" y="0"/>
            <wp:positionH relativeFrom="column">
              <wp:posOffset>5150485</wp:posOffset>
            </wp:positionH>
            <wp:positionV relativeFrom="paragraph">
              <wp:posOffset>19294</wp:posOffset>
            </wp:positionV>
            <wp:extent cx="1205865" cy="1812925"/>
            <wp:effectExtent l="0" t="0" r="0" b="0"/>
            <wp:wrapSquare wrapText="bothSides"/>
            <wp:docPr id="1333850444" name="Picture 1" descr="The BCOE WCAG logo: A cartoon friendly, furry, blue monster waving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50444" name="Picture 1" descr="The BCOE WCAG logo: A cartoon friendly, furry, blue monster waving&#10;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>
        <w:r w:rsidR="00E82AE1" w:rsidRPr="5FE296D7">
          <w:rPr>
            <w:rStyle w:val="Hyperlink"/>
            <w:sz w:val="24"/>
            <w:szCs w:val="24"/>
          </w:rPr>
          <w:t>BCOE Accessibility Resource Hub</w:t>
        </w:r>
      </w:hyperlink>
    </w:p>
    <w:p w14:paraId="7355DA2A" w14:textId="2F4F52AA" w:rsidR="006C6BA9" w:rsidRPr="00AB3CE4" w:rsidRDefault="00972562">
      <w:pPr>
        <w:rPr>
          <w:sz w:val="24"/>
          <w:szCs w:val="24"/>
        </w:rPr>
      </w:pPr>
      <w:r w:rsidRPr="00AB3CE4">
        <w:rPr>
          <w:sz w:val="24"/>
          <w:szCs w:val="24"/>
        </w:rPr>
        <w:t>Before you share</w:t>
      </w:r>
      <w:r w:rsidR="008E6A5B">
        <w:rPr>
          <w:sz w:val="24"/>
          <w:szCs w:val="24"/>
        </w:rPr>
        <w:t xml:space="preserve"> or post</w:t>
      </w:r>
      <w:r w:rsidRPr="00AB3CE4">
        <w:rPr>
          <w:sz w:val="24"/>
          <w:szCs w:val="24"/>
        </w:rPr>
        <w:t>, pause and check:</w:t>
      </w:r>
    </w:p>
    <w:p w14:paraId="3F9F7E0F" w14:textId="7FF46858" w:rsidR="006C6BA9" w:rsidRPr="00AB3CE4" w:rsidRDefault="00972562" w:rsidP="00AB3CE4">
      <w:pPr>
        <w:pStyle w:val="ListBullet"/>
      </w:pPr>
      <w:r>
        <w:t>Do image</w:t>
      </w:r>
      <w:r w:rsidR="00BB429B">
        <w:t>s</w:t>
      </w:r>
      <w:r>
        <w:t xml:space="preserve"> need alt text?</w:t>
      </w:r>
    </w:p>
    <w:p w14:paraId="64B3E894" w14:textId="5FF14226" w:rsidR="006C6BA9" w:rsidRDefault="00972562" w:rsidP="00AB3CE4">
      <w:pPr>
        <w:pStyle w:val="ListBullet"/>
      </w:pPr>
      <w:r>
        <w:t>Is text easy to read with strong c</w:t>
      </w:r>
      <w:r w:rsidR="00AB3CE4">
        <w:t>olor c</w:t>
      </w:r>
      <w:r>
        <w:t>ontrast?</w:t>
      </w:r>
      <w:r w:rsidR="00AB3CE4">
        <w:t xml:space="preserve"> (4.5:1 needed</w:t>
      </w:r>
      <w:r w:rsidR="00EE45A2">
        <w:t xml:space="preserve"> – </w:t>
      </w:r>
      <w:hyperlink r:id="rId8">
        <w:r w:rsidR="00EE45A2" w:rsidRPr="5FE296D7">
          <w:rPr>
            <w:rStyle w:val="Hyperlink"/>
          </w:rPr>
          <w:t>check with WebAIM</w:t>
        </w:r>
      </w:hyperlink>
      <w:r w:rsidR="00EE45A2">
        <w:t>)</w:t>
      </w:r>
    </w:p>
    <w:p w14:paraId="5D88B450" w14:textId="25D07D9F" w:rsidR="004F43E8" w:rsidRDefault="004F43E8" w:rsidP="004F43E8">
      <w:pPr>
        <w:pStyle w:val="ListBullet"/>
      </w:pPr>
      <w:r>
        <w:t>Do links make sense on their own (descriptive)?</w:t>
      </w:r>
    </w:p>
    <w:p w14:paraId="6278DAE3" w14:textId="219ACFA8" w:rsidR="00A04B8D" w:rsidRDefault="009808A0" w:rsidP="004F43E8">
      <w:pPr>
        <w:pStyle w:val="ListBullet"/>
      </w:pPr>
      <w:r>
        <w:t>Is the document organized with headings (using the styles tool)?</w:t>
      </w:r>
    </w:p>
    <w:p w14:paraId="39F480B0" w14:textId="09E5F1F6" w:rsidR="009808A0" w:rsidRDefault="009808A0" w:rsidP="004F43E8">
      <w:pPr>
        <w:pStyle w:val="ListBullet"/>
      </w:pPr>
      <w:r>
        <w:t xml:space="preserve">Are bulleted and numbered lists built with the </w:t>
      </w:r>
      <w:r w:rsidR="007D1D94">
        <w:t>bullet or numbering tool?</w:t>
      </w:r>
    </w:p>
    <w:p w14:paraId="4D9AF23D" w14:textId="4FF9BEB0" w:rsidR="004F43E8" w:rsidRPr="00AB3CE4" w:rsidRDefault="004F43E8" w:rsidP="004F43E8">
      <w:pPr>
        <w:pStyle w:val="ListBullet"/>
      </w:pPr>
      <w:r>
        <w:t>Are videos captioned and reviewed?</w:t>
      </w:r>
    </w:p>
    <w:p w14:paraId="64EE5B84" w14:textId="27141FAC" w:rsidR="006C6BA9" w:rsidRPr="00AB3CE4" w:rsidRDefault="004F43E8" w:rsidP="00AB3CE4">
      <w:pPr>
        <w:pStyle w:val="ListBullet"/>
      </w:pPr>
      <w:r>
        <w:t>Social media: Are hashtags in CamelCase?</w:t>
      </w:r>
    </w:p>
    <w:p w14:paraId="2739CA6B" w14:textId="2AAA7322" w:rsidR="006C6BA9" w:rsidRPr="00AB3CE4" w:rsidRDefault="004F43E8" w:rsidP="00AB3CE4">
      <w:pPr>
        <w:pStyle w:val="ListBullet"/>
      </w:pPr>
      <w:r>
        <w:t>Social media: Are emojis limited and placed at the end?</w:t>
      </w:r>
    </w:p>
    <w:p w14:paraId="4ED4A8C9" w14:textId="77777777" w:rsidR="00AB3CE4" w:rsidRDefault="00AB3CE4" w:rsidP="00AB3CE4">
      <w:pPr>
        <w:pStyle w:val="ListBullet"/>
        <w:numPr>
          <w:ilvl w:val="0"/>
          <w:numId w:val="0"/>
        </w:numPr>
        <w:ind w:left="360" w:hanging="360"/>
      </w:pPr>
    </w:p>
    <w:p w14:paraId="09E46598" w14:textId="1172649C" w:rsidR="00E65817" w:rsidRDefault="34E2D228" w:rsidP="00EE4FFB">
      <w:pPr>
        <w:pStyle w:val="ListBullet"/>
        <w:numPr>
          <w:ilvl w:val="0"/>
          <w:numId w:val="0"/>
        </w:numPr>
        <w:ind w:left="1350" w:hanging="1350"/>
      </w:pPr>
      <w:r>
        <w:t xml:space="preserve">General </w:t>
      </w:r>
      <w:r w:rsidR="7A76DE4E">
        <w:t>R</w:t>
      </w:r>
      <w:r>
        <w:t xml:space="preserve">ule: </w:t>
      </w:r>
      <w:r w:rsidR="00E65817">
        <w:tab/>
      </w:r>
      <w:r>
        <w:t xml:space="preserve">Microsoft documents are easier to check and fix for accessibility than PDFs. When </w:t>
      </w:r>
      <w:r w:rsidR="3CD82C99">
        <w:t>possible,</w:t>
      </w:r>
      <w:r>
        <w:t xml:space="preserve"> go back to your original document and fix it there.</w:t>
      </w:r>
    </w:p>
    <w:p w14:paraId="213D8A34" w14:textId="0C1351F0" w:rsidR="009B5483" w:rsidRDefault="3378293A" w:rsidP="5FE296D7">
      <w:pPr>
        <w:pStyle w:val="Heading1"/>
        <w:spacing w:line="240" w:lineRule="auto"/>
        <w:rPr>
          <w:u w:val="single"/>
        </w:rPr>
      </w:pPr>
      <w:r w:rsidRPr="5FE296D7">
        <w:t xml:space="preserve">For Outlook </w:t>
      </w:r>
      <w:r w:rsidRPr="5FE296D7">
        <w:rPr>
          <w:rStyle w:val="Heading1Char"/>
          <w:b/>
          <w:bCs/>
        </w:rPr>
        <w:t>Email</w:t>
      </w:r>
      <w:r w:rsidRPr="5FE296D7">
        <w:t>:</w:t>
      </w:r>
    </w:p>
    <w:p w14:paraId="4589C357" w14:textId="7C9FE52D" w:rsidR="009B5483" w:rsidRDefault="3378293A" w:rsidP="00F42543">
      <w:pPr>
        <w:pStyle w:val="ListBullet"/>
        <w:numPr>
          <w:ilvl w:val="0"/>
          <w:numId w:val="17"/>
        </w:numPr>
        <w:ind w:left="720"/>
      </w:pPr>
      <w:r>
        <w:t xml:space="preserve">Use the built in Microsoft </w:t>
      </w:r>
      <w:r w:rsidR="1F502A3F">
        <w:t>A</w:t>
      </w:r>
      <w:r>
        <w:t xml:space="preserve">ccessibility </w:t>
      </w:r>
      <w:r w:rsidR="2C513679">
        <w:t>C</w:t>
      </w:r>
      <w:r>
        <w:t>hecker (click</w:t>
      </w:r>
      <w:r w:rsidR="0AC3CCEE">
        <w:t xml:space="preserve"> “…” in the toolbar above your message</w:t>
      </w:r>
      <w:r w:rsidR="629D29FB">
        <w:t>.</w:t>
      </w:r>
      <w:r w:rsidR="097C4285">
        <w:t xml:space="preserve"> </w:t>
      </w:r>
      <w:r w:rsidR="5CF1F022">
        <w:t xml:space="preserve"> </w:t>
      </w:r>
      <w:r w:rsidR="629D29FB">
        <w:t>Fix whatever is needed.</w:t>
      </w:r>
    </w:p>
    <w:p w14:paraId="20BAB767" w14:textId="0F0C361D" w:rsidR="00FF0795" w:rsidRDefault="629D29FB" w:rsidP="00F42543">
      <w:pPr>
        <w:pStyle w:val="ListBullet"/>
        <w:numPr>
          <w:ilvl w:val="0"/>
          <w:numId w:val="17"/>
        </w:numPr>
        <w:ind w:left="720"/>
      </w:pPr>
      <w:r>
        <w:t xml:space="preserve">To make finding the checker easier, add it to your toolbar (click “…” in the toolbar above your message, </w:t>
      </w:r>
      <w:r w:rsidR="73C20A0B">
        <w:t>click “Customize Toolbar,” and dra</w:t>
      </w:r>
      <w:r w:rsidR="1B88F64D">
        <w:t>g</w:t>
      </w:r>
      <w:r w:rsidR="73C20A0B">
        <w:t xml:space="preserve"> the “Check Accessibility icon to the toolbar at the top of the window.</w:t>
      </w:r>
    </w:p>
    <w:p w14:paraId="184EE173" w14:textId="5F16FBB7" w:rsidR="00AB3CE4" w:rsidRDefault="34E2D228" w:rsidP="5FE296D7">
      <w:pPr>
        <w:pStyle w:val="Heading1"/>
      </w:pPr>
      <w:r>
        <w:t>For</w:t>
      </w:r>
      <w:r w:rsidR="1CD60843">
        <w:t xml:space="preserve"> Microsoft </w:t>
      </w:r>
      <w:r w:rsidR="247126A8">
        <w:t>D</w:t>
      </w:r>
      <w:r w:rsidR="1CD60843">
        <w:t>ocument</w:t>
      </w:r>
      <w:r>
        <w:t>s</w:t>
      </w:r>
      <w:r w:rsidR="1CD60843">
        <w:t>:</w:t>
      </w:r>
    </w:p>
    <w:p w14:paraId="1A716A0F" w14:textId="35C8E129" w:rsidR="00D96007" w:rsidRDefault="1CD60843" w:rsidP="00F42543">
      <w:pPr>
        <w:pStyle w:val="ListBullet"/>
        <w:numPr>
          <w:ilvl w:val="0"/>
          <w:numId w:val="18"/>
        </w:numPr>
        <w:ind w:left="720"/>
      </w:pPr>
      <w:r>
        <w:t xml:space="preserve">Use the </w:t>
      </w:r>
      <w:r w:rsidR="08F17B70">
        <w:t>built-in</w:t>
      </w:r>
      <w:r>
        <w:t xml:space="preserve"> Microsoft </w:t>
      </w:r>
      <w:r w:rsidR="39031321">
        <w:t>A</w:t>
      </w:r>
      <w:r>
        <w:t xml:space="preserve">ccessibility </w:t>
      </w:r>
      <w:r w:rsidR="5637A570">
        <w:t>C</w:t>
      </w:r>
      <w:r>
        <w:t>hecker</w:t>
      </w:r>
      <w:r w:rsidR="34E2D228">
        <w:t>.</w:t>
      </w:r>
      <w:r w:rsidR="386570AB">
        <w:t xml:space="preserve"> </w:t>
      </w:r>
      <w:r w:rsidR="142323A1">
        <w:t>Fix whatever is needed.</w:t>
      </w:r>
    </w:p>
    <w:p w14:paraId="2C2FE9DF" w14:textId="21F2CD3D" w:rsidR="001A1C1F" w:rsidRDefault="2A284C8E" w:rsidP="00F42543">
      <w:pPr>
        <w:pStyle w:val="ListBullet"/>
        <w:numPr>
          <w:ilvl w:val="0"/>
          <w:numId w:val="18"/>
        </w:numPr>
        <w:ind w:left="720"/>
      </w:pPr>
      <w:r>
        <w:t xml:space="preserve">If converting to a PDF, install Adobe Acrobat (free from KSU) and </w:t>
      </w:r>
      <w:r w:rsidR="1E35371E">
        <w:t xml:space="preserve">go to the </w:t>
      </w:r>
      <w:r w:rsidR="26947805">
        <w:t>“</w:t>
      </w:r>
      <w:r w:rsidR="1E35371E">
        <w:t>Acrobat</w:t>
      </w:r>
      <w:r w:rsidR="26947805">
        <w:t xml:space="preserve">” </w:t>
      </w:r>
      <w:r w:rsidR="1E35371E">
        <w:t xml:space="preserve">tab that now appears in </w:t>
      </w:r>
      <w:r w:rsidR="26947805">
        <w:t>your document’s toolbar, and click “Create PDF</w:t>
      </w:r>
      <w:r w:rsidR="34E2D228">
        <w:t>.</w:t>
      </w:r>
      <w:r w:rsidR="26947805">
        <w:t>”</w:t>
      </w:r>
    </w:p>
    <w:p w14:paraId="0D5620C3" w14:textId="3C33A378" w:rsidR="001A1C1F" w:rsidRDefault="001A1C1F" w:rsidP="5FE296D7">
      <w:pPr>
        <w:pStyle w:val="Heading1"/>
      </w:pPr>
      <w:r>
        <w:t>For PDFs:</w:t>
      </w:r>
    </w:p>
    <w:p w14:paraId="5B30EF18" w14:textId="3099477D" w:rsidR="001A1C1F" w:rsidRDefault="5BD9DCFC" w:rsidP="00F42543">
      <w:pPr>
        <w:pStyle w:val="ListBullet"/>
        <w:numPr>
          <w:ilvl w:val="0"/>
          <w:numId w:val="19"/>
        </w:numPr>
        <w:ind w:left="720"/>
      </w:pPr>
      <w:r>
        <w:t xml:space="preserve">If you have the original </w:t>
      </w:r>
      <w:r w:rsidR="6258C84F">
        <w:t xml:space="preserve">form </w:t>
      </w:r>
      <w:r>
        <w:t xml:space="preserve">as a Microsoft document, use that and follow the steps </w:t>
      </w:r>
      <w:r w:rsidR="142323A1">
        <w:t xml:space="preserve">listed </w:t>
      </w:r>
      <w:r>
        <w:t>above.</w:t>
      </w:r>
    </w:p>
    <w:p w14:paraId="6E7A3522" w14:textId="77777777" w:rsidR="00F42543" w:rsidRDefault="001A1C1F" w:rsidP="00F42543">
      <w:pPr>
        <w:pStyle w:val="ListBullet"/>
        <w:numPr>
          <w:ilvl w:val="0"/>
          <w:numId w:val="19"/>
        </w:numPr>
        <w:ind w:left="720"/>
      </w:pPr>
      <w:r>
        <w:t>If you do not have the original document and your</w:t>
      </w:r>
      <w:r w:rsidR="00E65817">
        <w:t xml:space="preserve"> PDF needs to be fixed, upload it into the new </w:t>
      </w:r>
      <w:hyperlink r:id="rId9">
        <w:r w:rsidR="00494D47" w:rsidRPr="5FE296D7">
          <w:rPr>
            <w:rStyle w:val="Hyperlink"/>
          </w:rPr>
          <w:t xml:space="preserve">Panorama </w:t>
        </w:r>
        <w:r w:rsidR="00E65817" w:rsidRPr="5FE296D7">
          <w:rPr>
            <w:rStyle w:val="Hyperlink"/>
          </w:rPr>
          <w:t>DocHub</w:t>
        </w:r>
      </w:hyperlink>
      <w:r w:rsidR="00E65817">
        <w:t xml:space="preserve"> tool and </w:t>
      </w:r>
      <w:r w:rsidR="00494D47">
        <w:t>run the accessibility checker</w:t>
      </w:r>
      <w:r w:rsidR="00E65817">
        <w:t>.</w:t>
      </w:r>
      <w:r w:rsidR="00494D47">
        <w:t xml:space="preserve"> </w:t>
      </w:r>
    </w:p>
    <w:p w14:paraId="25F7A1BD" w14:textId="1FD2A114" w:rsidR="00E65817" w:rsidRDefault="00494D47" w:rsidP="00F42543">
      <w:pPr>
        <w:pStyle w:val="ListBullet"/>
        <w:numPr>
          <w:ilvl w:val="0"/>
          <w:numId w:val="19"/>
        </w:numPr>
        <w:ind w:left="720"/>
      </w:pPr>
      <w:r>
        <w:t xml:space="preserve">You can fix most items </w:t>
      </w:r>
      <w:r w:rsidR="00483222">
        <w:t xml:space="preserve">directly </w:t>
      </w:r>
      <w:r>
        <w:t>in DocHub</w:t>
      </w:r>
      <w:r w:rsidR="00483222">
        <w:t>, then download the revised document</w:t>
      </w:r>
      <w:r>
        <w:t>.</w:t>
      </w:r>
    </w:p>
    <w:p w14:paraId="34155EAC" w14:textId="270C341A" w:rsidR="00494D47" w:rsidRDefault="3B0103F4" w:rsidP="005A667E">
      <w:pPr>
        <w:pStyle w:val="ListBullet"/>
        <w:numPr>
          <w:ilvl w:val="0"/>
          <w:numId w:val="0"/>
        </w:numPr>
      </w:pPr>
      <w:r>
        <w:t>If you run across something that can’t be fixed in DocHub, open it in Adobe Acrobat, run the accessibility checker</w:t>
      </w:r>
      <w:r w:rsidR="5A18D274">
        <w:t>,</w:t>
      </w:r>
      <w:r>
        <w:t xml:space="preserve"> </w:t>
      </w:r>
      <w:r w:rsidR="0C461879">
        <w:t>and fix it there.</w:t>
      </w:r>
    </w:p>
    <w:p w14:paraId="51692DFE" w14:textId="0C122B64" w:rsidR="008307F1" w:rsidRDefault="5E3A6F91" w:rsidP="5FE296D7">
      <w:pPr>
        <w:pStyle w:val="Heading1"/>
      </w:pPr>
      <w:r>
        <w:t xml:space="preserve">For </w:t>
      </w:r>
      <w:r w:rsidR="791EDF85">
        <w:t>D</w:t>
      </w:r>
      <w:r>
        <w:t>ocuments in D2L</w:t>
      </w:r>
    </w:p>
    <w:p w14:paraId="2CBD4871" w14:textId="3027A5B5" w:rsidR="008307F1" w:rsidRDefault="008307F1" w:rsidP="008307F1">
      <w:pPr>
        <w:pStyle w:val="ListBullet"/>
        <w:numPr>
          <w:ilvl w:val="0"/>
          <w:numId w:val="16"/>
        </w:numPr>
      </w:pPr>
      <w:r>
        <w:t xml:space="preserve">Use the </w:t>
      </w:r>
      <w:hyperlink r:id="rId10" w:history="1">
        <w:r w:rsidR="006868ED" w:rsidRPr="00EE4FFB">
          <w:rPr>
            <w:rStyle w:val="Hyperlink"/>
          </w:rPr>
          <w:t xml:space="preserve">new </w:t>
        </w:r>
        <w:r w:rsidRPr="00EE4FFB">
          <w:rPr>
            <w:rStyle w:val="Hyperlink"/>
          </w:rPr>
          <w:t xml:space="preserve">Panorama </w:t>
        </w:r>
        <w:r w:rsidR="006868ED" w:rsidRPr="00EE4FFB">
          <w:rPr>
            <w:rStyle w:val="Hyperlink"/>
          </w:rPr>
          <w:t>tool</w:t>
        </w:r>
      </w:hyperlink>
      <w:r w:rsidR="006868ED">
        <w:t xml:space="preserve"> to access an accessibility report.</w:t>
      </w:r>
    </w:p>
    <w:p w14:paraId="760BB2DC" w14:textId="1801F718" w:rsidR="006868ED" w:rsidRDefault="006868ED" w:rsidP="008307F1">
      <w:pPr>
        <w:pStyle w:val="ListBullet"/>
        <w:numPr>
          <w:ilvl w:val="0"/>
          <w:numId w:val="16"/>
        </w:numPr>
      </w:pPr>
      <w:r>
        <w:t xml:space="preserve">Fix whatever is needed (most can be done from within </w:t>
      </w:r>
      <w:r w:rsidR="007536C1">
        <w:t>D2L).</w:t>
      </w:r>
    </w:p>
    <w:p w14:paraId="05EE93CE" w14:textId="599192C9" w:rsidR="00AB3CE4" w:rsidRDefault="77A96F3B" w:rsidP="005A667E">
      <w:pPr>
        <w:pStyle w:val="ListBullet"/>
        <w:numPr>
          <w:ilvl w:val="0"/>
          <w:numId w:val="0"/>
        </w:numPr>
      </w:pPr>
      <w:r>
        <w:t xml:space="preserve">If you use </w:t>
      </w:r>
      <w:r w:rsidR="0D6A40BE">
        <w:t xml:space="preserve">the </w:t>
      </w:r>
      <w:r>
        <w:t xml:space="preserve">document in other courses, or it is in a course shell, make sure to download it and replace the older, </w:t>
      </w:r>
      <w:r w:rsidR="78AC314B">
        <w:t>inaccessible</w:t>
      </w:r>
      <w:r>
        <w:t xml:space="preserve"> documents with this one.</w:t>
      </w:r>
    </w:p>
    <w:sectPr w:rsidR="00AB3CE4" w:rsidSect="000F19C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0409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75785"/>
    <w:multiLevelType w:val="hybridMultilevel"/>
    <w:tmpl w:val="FCA4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A23A6"/>
    <w:multiLevelType w:val="hybridMultilevel"/>
    <w:tmpl w:val="F31614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606EF"/>
    <w:multiLevelType w:val="hybridMultilevel"/>
    <w:tmpl w:val="7876E7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C5F69"/>
    <w:multiLevelType w:val="hybridMultilevel"/>
    <w:tmpl w:val="13B6B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14598"/>
    <w:multiLevelType w:val="hybridMultilevel"/>
    <w:tmpl w:val="3EC6A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FA13E"/>
    <w:multiLevelType w:val="hybridMultilevel"/>
    <w:tmpl w:val="A2620270"/>
    <w:lvl w:ilvl="0" w:tplc="E1AE9574">
      <w:start w:val="1"/>
      <w:numFmt w:val="decimal"/>
      <w:lvlText w:val="%1."/>
      <w:lvlJc w:val="left"/>
      <w:pPr>
        <w:ind w:left="720" w:hanging="360"/>
      </w:pPr>
    </w:lvl>
    <w:lvl w:ilvl="1" w:tplc="1BB2BBE2">
      <w:start w:val="1"/>
      <w:numFmt w:val="lowerLetter"/>
      <w:lvlText w:val="%2."/>
      <w:lvlJc w:val="left"/>
      <w:pPr>
        <w:ind w:left="1440" w:hanging="360"/>
      </w:pPr>
    </w:lvl>
    <w:lvl w:ilvl="2" w:tplc="812E6A1C">
      <w:start w:val="1"/>
      <w:numFmt w:val="lowerRoman"/>
      <w:lvlText w:val="%3."/>
      <w:lvlJc w:val="right"/>
      <w:pPr>
        <w:ind w:left="2160" w:hanging="180"/>
      </w:pPr>
    </w:lvl>
    <w:lvl w:ilvl="3" w:tplc="53288720">
      <w:start w:val="1"/>
      <w:numFmt w:val="decimal"/>
      <w:lvlText w:val="%4."/>
      <w:lvlJc w:val="left"/>
      <w:pPr>
        <w:ind w:left="2880" w:hanging="360"/>
      </w:pPr>
    </w:lvl>
    <w:lvl w:ilvl="4" w:tplc="51907694">
      <w:start w:val="1"/>
      <w:numFmt w:val="lowerLetter"/>
      <w:lvlText w:val="%5."/>
      <w:lvlJc w:val="left"/>
      <w:pPr>
        <w:ind w:left="3600" w:hanging="360"/>
      </w:pPr>
    </w:lvl>
    <w:lvl w:ilvl="5" w:tplc="8A86DA92">
      <w:start w:val="1"/>
      <w:numFmt w:val="lowerRoman"/>
      <w:lvlText w:val="%6."/>
      <w:lvlJc w:val="right"/>
      <w:pPr>
        <w:ind w:left="4320" w:hanging="180"/>
      </w:pPr>
    </w:lvl>
    <w:lvl w:ilvl="6" w:tplc="C6B0E408">
      <w:start w:val="1"/>
      <w:numFmt w:val="decimal"/>
      <w:lvlText w:val="%7."/>
      <w:lvlJc w:val="left"/>
      <w:pPr>
        <w:ind w:left="5040" w:hanging="360"/>
      </w:pPr>
    </w:lvl>
    <w:lvl w:ilvl="7" w:tplc="C01C6A2E">
      <w:start w:val="1"/>
      <w:numFmt w:val="lowerLetter"/>
      <w:lvlText w:val="%8."/>
      <w:lvlJc w:val="left"/>
      <w:pPr>
        <w:ind w:left="5760" w:hanging="360"/>
      </w:pPr>
    </w:lvl>
    <w:lvl w:ilvl="8" w:tplc="02B8C2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063"/>
    <w:multiLevelType w:val="hybridMultilevel"/>
    <w:tmpl w:val="AEBCDDA2"/>
    <w:lvl w:ilvl="0" w:tplc="0A8AD464">
      <w:start w:val="1"/>
      <w:numFmt w:val="bullet"/>
      <w:pStyle w:val="ListBullet"/>
      <w:lvlText w:val="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11B8B"/>
    <w:multiLevelType w:val="hybridMultilevel"/>
    <w:tmpl w:val="D004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F2FC"/>
    <w:multiLevelType w:val="hybridMultilevel"/>
    <w:tmpl w:val="5B4248FA"/>
    <w:lvl w:ilvl="0" w:tplc="358E1A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F01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04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5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A4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4A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E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68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E5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F4E35"/>
    <w:multiLevelType w:val="hybridMultilevel"/>
    <w:tmpl w:val="0EC01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81796">
    <w:abstractNumId w:val="17"/>
  </w:num>
  <w:num w:numId="2" w16cid:durableId="1226989130">
    <w:abstractNumId w:val="14"/>
  </w:num>
  <w:num w:numId="3" w16cid:durableId="1762094474">
    <w:abstractNumId w:val="8"/>
  </w:num>
  <w:num w:numId="4" w16cid:durableId="629480074">
    <w:abstractNumId w:val="6"/>
  </w:num>
  <w:num w:numId="5" w16cid:durableId="1379892358">
    <w:abstractNumId w:val="5"/>
  </w:num>
  <w:num w:numId="6" w16cid:durableId="661813167">
    <w:abstractNumId w:val="4"/>
  </w:num>
  <w:num w:numId="7" w16cid:durableId="1115828804">
    <w:abstractNumId w:val="7"/>
  </w:num>
  <w:num w:numId="8" w16cid:durableId="1324553991">
    <w:abstractNumId w:val="3"/>
  </w:num>
  <w:num w:numId="9" w16cid:durableId="587693271">
    <w:abstractNumId w:val="2"/>
  </w:num>
  <w:num w:numId="10" w16cid:durableId="2037346598">
    <w:abstractNumId w:val="1"/>
  </w:num>
  <w:num w:numId="11" w16cid:durableId="1109198627">
    <w:abstractNumId w:val="0"/>
  </w:num>
  <w:num w:numId="12" w16cid:durableId="1337539763">
    <w:abstractNumId w:val="15"/>
  </w:num>
  <w:num w:numId="13" w16cid:durableId="463428249">
    <w:abstractNumId w:val="18"/>
  </w:num>
  <w:num w:numId="14" w16cid:durableId="2069303771">
    <w:abstractNumId w:val="13"/>
  </w:num>
  <w:num w:numId="15" w16cid:durableId="409272969">
    <w:abstractNumId w:val="16"/>
  </w:num>
  <w:num w:numId="16" w16cid:durableId="945507332">
    <w:abstractNumId w:val="9"/>
  </w:num>
  <w:num w:numId="17" w16cid:durableId="104614690">
    <w:abstractNumId w:val="12"/>
  </w:num>
  <w:num w:numId="18" w16cid:durableId="1620918502">
    <w:abstractNumId w:val="10"/>
  </w:num>
  <w:num w:numId="19" w16cid:durableId="596717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B73"/>
    <w:rsid w:val="000F19C3"/>
    <w:rsid w:val="0015074B"/>
    <w:rsid w:val="001A1C1F"/>
    <w:rsid w:val="00255E09"/>
    <w:rsid w:val="002612FC"/>
    <w:rsid w:val="0029639D"/>
    <w:rsid w:val="002B1D5D"/>
    <w:rsid w:val="00326F90"/>
    <w:rsid w:val="00483222"/>
    <w:rsid w:val="00494D47"/>
    <w:rsid w:val="004F43E8"/>
    <w:rsid w:val="005A667E"/>
    <w:rsid w:val="005F6B67"/>
    <w:rsid w:val="006837D5"/>
    <w:rsid w:val="006868ED"/>
    <w:rsid w:val="006C6BA9"/>
    <w:rsid w:val="007536C1"/>
    <w:rsid w:val="007658AB"/>
    <w:rsid w:val="007D1D94"/>
    <w:rsid w:val="008307F1"/>
    <w:rsid w:val="008E6A5B"/>
    <w:rsid w:val="00922672"/>
    <w:rsid w:val="00966BB6"/>
    <w:rsid w:val="00972562"/>
    <w:rsid w:val="009808A0"/>
    <w:rsid w:val="009921D6"/>
    <w:rsid w:val="009B2175"/>
    <w:rsid w:val="009B5483"/>
    <w:rsid w:val="009F16B5"/>
    <w:rsid w:val="00A04B8D"/>
    <w:rsid w:val="00A21B94"/>
    <w:rsid w:val="00A6087C"/>
    <w:rsid w:val="00AA1D8D"/>
    <w:rsid w:val="00AB3CE4"/>
    <w:rsid w:val="00B47730"/>
    <w:rsid w:val="00B76873"/>
    <w:rsid w:val="00BB429B"/>
    <w:rsid w:val="00BC52C7"/>
    <w:rsid w:val="00C33607"/>
    <w:rsid w:val="00C50443"/>
    <w:rsid w:val="00C749FE"/>
    <w:rsid w:val="00CA035E"/>
    <w:rsid w:val="00CB0664"/>
    <w:rsid w:val="00D914CA"/>
    <w:rsid w:val="00D96007"/>
    <w:rsid w:val="00E65817"/>
    <w:rsid w:val="00E82AE1"/>
    <w:rsid w:val="00E85DF5"/>
    <w:rsid w:val="00EE45A2"/>
    <w:rsid w:val="00EE4FFB"/>
    <w:rsid w:val="00F42543"/>
    <w:rsid w:val="00FC693F"/>
    <w:rsid w:val="00FF0795"/>
    <w:rsid w:val="08F17B70"/>
    <w:rsid w:val="097C4285"/>
    <w:rsid w:val="0AC3CCEE"/>
    <w:rsid w:val="0C461879"/>
    <w:rsid w:val="0D4986C9"/>
    <w:rsid w:val="0D6A40BE"/>
    <w:rsid w:val="142323A1"/>
    <w:rsid w:val="1B88F64D"/>
    <w:rsid w:val="1CA4EEC6"/>
    <w:rsid w:val="1CD60843"/>
    <w:rsid w:val="1D02C620"/>
    <w:rsid w:val="1E35371E"/>
    <w:rsid w:val="1F502A3F"/>
    <w:rsid w:val="247126A8"/>
    <w:rsid w:val="26947805"/>
    <w:rsid w:val="2A284C8E"/>
    <w:rsid w:val="2BC2E315"/>
    <w:rsid w:val="2BE338E1"/>
    <w:rsid w:val="2C513679"/>
    <w:rsid w:val="3378293A"/>
    <w:rsid w:val="34E2D228"/>
    <w:rsid w:val="386570AB"/>
    <w:rsid w:val="39031321"/>
    <w:rsid w:val="3B0103F4"/>
    <w:rsid w:val="3CD82C99"/>
    <w:rsid w:val="4A97D6DE"/>
    <w:rsid w:val="4B9A4998"/>
    <w:rsid w:val="562122B9"/>
    <w:rsid w:val="5637A570"/>
    <w:rsid w:val="5A18D274"/>
    <w:rsid w:val="5BD9DCFC"/>
    <w:rsid w:val="5CF1F022"/>
    <w:rsid w:val="5E3A6F91"/>
    <w:rsid w:val="5FE296D7"/>
    <w:rsid w:val="6258C84F"/>
    <w:rsid w:val="629D29FB"/>
    <w:rsid w:val="65230807"/>
    <w:rsid w:val="7392DAF3"/>
    <w:rsid w:val="73C20A0B"/>
    <w:rsid w:val="76329D52"/>
    <w:rsid w:val="77A96F3B"/>
    <w:rsid w:val="78AC314B"/>
    <w:rsid w:val="791EDF85"/>
    <w:rsid w:val="7A76D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64118"/>
  <w14:defaultImageDpi w14:val="300"/>
  <w15:docId w15:val="{80A103CF-625B-B749-9C70-2F7E566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5FE29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5FE29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5FE296D7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3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C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im.org/resources/contrastcheck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mpus.kennesaw.edu/colleges-departments/bagwell/faculty-staff/accessibility-resource-hub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iaspace.kennesaw.edu/media/Panorama+and+Course+Report+Overview/1_tgmg8u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pus.kennesaw.edu/faculty-staff/academic-affairs/curriculum-instruction-assessment/digital-learning-innovations/academic-web-accessibility/basic-accessibility-solutions/creating-accessible-content/dochub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455</Words>
  <Characters>2151</Characters>
  <Application>Microsoft Office Word</Application>
  <DocSecurity>0</DocSecurity>
  <Lines>44</Lines>
  <Paragraphs>39</Paragraphs>
  <ScaleCrop>false</ScaleCrop>
  <Manager/>
  <Company/>
  <LinksUpToDate>false</LinksUpToDate>
  <CharactersWithSpaces>2567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Moore</cp:lastModifiedBy>
  <cp:revision>42</cp:revision>
  <dcterms:created xsi:type="dcterms:W3CDTF">2026-01-30T13:16:00Z</dcterms:created>
  <dcterms:modified xsi:type="dcterms:W3CDTF">2026-02-03T20:47:00Z</dcterms:modified>
  <cp:category/>
</cp:coreProperties>
</file>